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D754D">
      <w:pPr>
        <w:jc w:val="left"/>
        <w:rPr>
          <w:rFonts w:ascii="宋体" w:hAnsi="宋体" w:eastAsia="宋体" w:cs="宋体"/>
          <w:b/>
          <w:bCs/>
          <w:color w:val="auto"/>
          <w:spacing w:val="20"/>
          <w:sz w:val="84"/>
          <w:szCs w:val="84"/>
          <w:highlight w:val="none"/>
        </w:rPr>
      </w:pPr>
    </w:p>
    <w:p w14:paraId="347C1964">
      <w:pPr>
        <w:jc w:val="center"/>
        <w:rPr>
          <w:rFonts w:ascii="宋体" w:hAnsi="宋体" w:eastAsia="宋体" w:cs="宋体"/>
          <w:b/>
          <w:bCs/>
          <w:color w:val="auto"/>
          <w:spacing w:val="20"/>
          <w:sz w:val="62"/>
          <w:szCs w:val="62"/>
          <w:highlight w:val="none"/>
        </w:rPr>
      </w:pPr>
      <w:r>
        <w:rPr>
          <w:rFonts w:hint="eastAsia" w:ascii="宋体" w:hAnsi="宋体" w:eastAsia="宋体" w:cs="宋体"/>
          <w:b/>
          <w:bCs/>
          <w:color w:val="auto"/>
          <w:spacing w:val="20"/>
          <w:sz w:val="62"/>
          <w:szCs w:val="62"/>
          <w:highlight w:val="none"/>
        </w:rPr>
        <w:t>温州市海宸技术开发有限公司路基填筑材料</w:t>
      </w:r>
      <w:r>
        <w:rPr>
          <w:rFonts w:hint="eastAsia" w:ascii="宋体" w:hAnsi="宋体" w:cs="宋体"/>
          <w:b/>
          <w:bCs/>
          <w:color w:val="auto"/>
          <w:spacing w:val="20"/>
          <w:sz w:val="62"/>
          <w:szCs w:val="62"/>
          <w:highlight w:val="none"/>
          <w:lang w:eastAsia="zh-CN"/>
        </w:rPr>
        <w:t>（</w:t>
      </w:r>
      <w:r>
        <w:rPr>
          <w:rFonts w:hint="eastAsia" w:ascii="宋体" w:hAnsi="宋体" w:cs="宋体"/>
          <w:b/>
          <w:bCs/>
          <w:color w:val="auto"/>
          <w:spacing w:val="20"/>
          <w:sz w:val="62"/>
          <w:szCs w:val="62"/>
          <w:highlight w:val="none"/>
          <w:lang w:val="en-US" w:eastAsia="zh-CN"/>
        </w:rPr>
        <w:t>路基固化土</w:t>
      </w:r>
      <w:r>
        <w:rPr>
          <w:rFonts w:hint="eastAsia" w:ascii="宋体" w:hAnsi="宋体" w:cs="宋体"/>
          <w:b/>
          <w:bCs/>
          <w:color w:val="auto"/>
          <w:spacing w:val="20"/>
          <w:sz w:val="62"/>
          <w:szCs w:val="62"/>
          <w:highlight w:val="none"/>
          <w:lang w:eastAsia="zh-CN"/>
        </w:rPr>
        <w:t>）</w:t>
      </w:r>
      <w:r>
        <w:rPr>
          <w:rFonts w:hint="eastAsia" w:ascii="宋体" w:hAnsi="宋体" w:eastAsia="宋体" w:cs="宋体"/>
          <w:b/>
          <w:bCs/>
          <w:color w:val="auto"/>
          <w:spacing w:val="20"/>
          <w:sz w:val="62"/>
          <w:szCs w:val="62"/>
          <w:highlight w:val="none"/>
        </w:rPr>
        <w:t>采购</w:t>
      </w:r>
    </w:p>
    <w:p w14:paraId="383B3A7C">
      <w:pPr>
        <w:pStyle w:val="18"/>
        <w:ind w:firstLine="210"/>
        <w:rPr>
          <w:rFonts w:ascii="宋体" w:hAnsi="宋体" w:cs="宋体"/>
          <w:color w:val="auto"/>
          <w:highlight w:val="none"/>
        </w:rPr>
      </w:pPr>
    </w:p>
    <w:p w14:paraId="1F9E10BF">
      <w:pPr>
        <w:pStyle w:val="9"/>
        <w:rPr>
          <w:rFonts w:ascii="宋体" w:hAnsi="宋体" w:eastAsia="宋体" w:cs="宋体"/>
          <w:color w:val="auto"/>
          <w:highlight w:val="none"/>
        </w:rPr>
      </w:pPr>
    </w:p>
    <w:p w14:paraId="7616EB87">
      <w:pPr>
        <w:rPr>
          <w:rFonts w:ascii="宋体" w:hAnsi="宋体" w:eastAsia="宋体" w:cs="宋体"/>
          <w:color w:val="auto"/>
          <w:highlight w:val="none"/>
        </w:rPr>
      </w:pPr>
    </w:p>
    <w:p w14:paraId="23C9197C">
      <w:pPr>
        <w:pStyle w:val="18"/>
        <w:ind w:firstLine="210"/>
        <w:rPr>
          <w:rFonts w:ascii="宋体" w:hAnsi="宋体" w:cs="宋体"/>
          <w:color w:val="auto"/>
          <w:highlight w:val="none"/>
        </w:rPr>
      </w:pPr>
    </w:p>
    <w:p w14:paraId="2F897FCF">
      <w:pPr>
        <w:spacing w:line="360" w:lineRule="exact"/>
        <w:jc w:val="center"/>
        <w:rPr>
          <w:rFonts w:ascii="宋体" w:hAnsi="宋体" w:eastAsia="宋体" w:cs="宋体"/>
          <w:b/>
          <w:bCs/>
          <w:color w:val="auto"/>
          <w:spacing w:val="140"/>
          <w:sz w:val="72"/>
          <w:szCs w:val="24"/>
          <w:highlight w:val="none"/>
        </w:rPr>
      </w:pPr>
    </w:p>
    <w:p w14:paraId="09D65D8B">
      <w:pPr>
        <w:spacing w:line="900" w:lineRule="exact"/>
        <w:jc w:val="center"/>
        <w:rPr>
          <w:rFonts w:ascii="宋体" w:hAnsi="宋体" w:eastAsia="宋体" w:cs="宋体"/>
          <w:b/>
          <w:bCs/>
          <w:color w:val="auto"/>
          <w:spacing w:val="20"/>
          <w:sz w:val="56"/>
          <w:szCs w:val="56"/>
          <w:highlight w:val="none"/>
        </w:rPr>
      </w:pPr>
      <w:r>
        <w:rPr>
          <w:rFonts w:hint="eastAsia" w:ascii="宋体" w:hAnsi="宋体" w:eastAsia="宋体" w:cs="宋体"/>
          <w:b/>
          <w:bCs/>
          <w:color w:val="auto"/>
          <w:spacing w:val="20"/>
          <w:sz w:val="72"/>
          <w:szCs w:val="72"/>
          <w:highlight w:val="none"/>
          <w:lang w:val="en-US" w:eastAsia="zh-CN"/>
        </w:rPr>
        <w:t>比选</w:t>
      </w:r>
      <w:r>
        <w:rPr>
          <w:rFonts w:hint="eastAsia" w:ascii="宋体" w:hAnsi="宋体" w:eastAsia="宋体" w:cs="宋体"/>
          <w:b/>
          <w:bCs/>
          <w:color w:val="auto"/>
          <w:spacing w:val="20"/>
          <w:sz w:val="72"/>
          <w:szCs w:val="72"/>
          <w:highlight w:val="none"/>
        </w:rPr>
        <w:t>文件</w:t>
      </w:r>
    </w:p>
    <w:p w14:paraId="6F79BC85">
      <w:pPr>
        <w:spacing w:line="400" w:lineRule="exact"/>
        <w:jc w:val="center"/>
        <w:rPr>
          <w:rFonts w:ascii="宋体" w:hAnsi="宋体" w:eastAsia="宋体" w:cs="宋体"/>
          <w:b/>
          <w:bCs/>
          <w:color w:val="auto"/>
          <w:sz w:val="32"/>
          <w:szCs w:val="32"/>
          <w:highlight w:val="none"/>
        </w:rPr>
      </w:pPr>
    </w:p>
    <w:p w14:paraId="27822978">
      <w:pPr>
        <w:spacing w:line="400" w:lineRule="exact"/>
        <w:jc w:val="center"/>
        <w:rPr>
          <w:rFonts w:ascii="宋体" w:hAnsi="宋体" w:eastAsia="宋体" w:cs="宋体"/>
          <w:b/>
          <w:bCs/>
          <w:color w:val="auto"/>
          <w:sz w:val="32"/>
          <w:szCs w:val="32"/>
          <w:highlight w:val="none"/>
        </w:rPr>
      </w:pPr>
    </w:p>
    <w:p w14:paraId="704B5987">
      <w:pPr>
        <w:rPr>
          <w:rFonts w:ascii="宋体" w:hAnsi="宋体" w:eastAsia="宋体" w:cs="宋体"/>
          <w:b/>
          <w:bCs/>
          <w:color w:val="auto"/>
          <w:sz w:val="24"/>
          <w:szCs w:val="24"/>
          <w:highlight w:val="none"/>
        </w:rPr>
      </w:pPr>
    </w:p>
    <w:p w14:paraId="76ADBF0B">
      <w:pPr>
        <w:rPr>
          <w:rFonts w:ascii="宋体" w:hAnsi="宋体" w:eastAsia="宋体" w:cs="宋体"/>
          <w:b/>
          <w:bCs/>
          <w:color w:val="auto"/>
          <w:sz w:val="24"/>
          <w:szCs w:val="24"/>
          <w:highlight w:val="none"/>
        </w:rPr>
      </w:pPr>
    </w:p>
    <w:p w14:paraId="6D67B420">
      <w:pPr>
        <w:ind w:firstLine="1140" w:firstLineChars="300"/>
        <w:rPr>
          <w:rFonts w:ascii="宋体" w:hAnsi="宋体" w:eastAsia="宋体" w:cs="宋体"/>
          <w:color w:val="auto"/>
          <w:spacing w:val="40"/>
          <w:sz w:val="30"/>
          <w:szCs w:val="30"/>
          <w:highlight w:val="none"/>
        </w:rPr>
      </w:pPr>
    </w:p>
    <w:p w14:paraId="46FE7B0C">
      <w:pPr>
        <w:spacing w:line="760" w:lineRule="exact"/>
        <w:ind w:left="750" w:hanging="750" w:hangingChars="250"/>
        <w:jc w:val="center"/>
        <w:rPr>
          <w:rFonts w:ascii="宋体" w:hAnsi="宋体" w:eastAsia="宋体" w:cs="宋体"/>
          <w:color w:val="auto"/>
          <w:sz w:val="30"/>
          <w:szCs w:val="30"/>
          <w:highlight w:val="none"/>
        </w:rPr>
      </w:pPr>
    </w:p>
    <w:p w14:paraId="32E8A783">
      <w:pPr>
        <w:spacing w:line="760" w:lineRule="exact"/>
        <w:ind w:left="750" w:hanging="750" w:hangingChars="250"/>
        <w:jc w:val="center"/>
        <w:rPr>
          <w:rFonts w:ascii="宋体" w:hAnsi="宋体" w:eastAsia="宋体" w:cs="宋体"/>
          <w:color w:val="auto"/>
          <w:sz w:val="30"/>
          <w:szCs w:val="30"/>
          <w:highlight w:val="none"/>
        </w:rPr>
      </w:pPr>
    </w:p>
    <w:p w14:paraId="5D76DE54">
      <w:pPr>
        <w:spacing w:line="760" w:lineRule="exact"/>
        <w:ind w:left="750" w:hanging="750" w:hangingChars="250"/>
        <w:jc w:val="center"/>
        <w:rPr>
          <w:rFonts w:ascii="宋体" w:hAnsi="宋体" w:eastAsia="宋体" w:cs="宋体"/>
          <w:color w:val="auto"/>
          <w:sz w:val="30"/>
          <w:szCs w:val="30"/>
          <w:highlight w:val="none"/>
        </w:rPr>
      </w:pPr>
    </w:p>
    <w:p w14:paraId="713E8B0B">
      <w:pPr>
        <w:spacing w:line="760" w:lineRule="exact"/>
        <w:ind w:left="750" w:hanging="750" w:hangingChars="250"/>
        <w:jc w:val="center"/>
        <w:rPr>
          <w:rFonts w:ascii="宋体" w:hAnsi="宋体" w:eastAsia="宋体" w:cs="宋体"/>
          <w:color w:val="auto"/>
          <w:sz w:val="30"/>
          <w:szCs w:val="30"/>
          <w:highlight w:val="none"/>
        </w:rPr>
      </w:pPr>
    </w:p>
    <w:tbl>
      <w:tblPr>
        <w:tblStyle w:val="11"/>
        <w:tblW w:w="79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6"/>
        <w:gridCol w:w="5674"/>
      </w:tblGrid>
      <w:tr w14:paraId="3C8F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96" w:type="dxa"/>
            <w:tcBorders>
              <w:tl2br w:val="nil"/>
              <w:tr2bl w:val="nil"/>
            </w:tcBorders>
            <w:vAlign w:val="top"/>
          </w:tcPr>
          <w:p w14:paraId="1463E7A7">
            <w:pPr>
              <w:widowControl/>
              <w:spacing w:before="60" w:after="60" w:line="400" w:lineRule="exact"/>
              <w:ind w:right="60"/>
              <w:jc w:val="distribut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p>
        </w:tc>
        <w:tc>
          <w:tcPr>
            <w:tcW w:w="5674" w:type="dxa"/>
            <w:tcBorders>
              <w:tl2br w:val="nil"/>
              <w:tr2bl w:val="nil"/>
            </w:tcBorders>
            <w:vAlign w:val="top"/>
          </w:tcPr>
          <w:p w14:paraId="0D85B7CF">
            <w:pPr>
              <w:widowControl/>
              <w:spacing w:before="60" w:after="60" w:line="400" w:lineRule="exact"/>
              <w:ind w:right="6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温州市海宸技术开发有限公司</w:t>
            </w:r>
          </w:p>
        </w:tc>
      </w:tr>
      <w:tr w14:paraId="53F9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96" w:type="dxa"/>
            <w:tcBorders>
              <w:tl2br w:val="nil"/>
              <w:tr2bl w:val="nil"/>
            </w:tcBorders>
            <w:vAlign w:val="top"/>
          </w:tcPr>
          <w:p w14:paraId="3B26B6FA">
            <w:pPr>
              <w:widowControl/>
              <w:spacing w:before="60" w:after="60" w:line="400" w:lineRule="exact"/>
              <w:ind w:right="60"/>
              <w:jc w:val="distribut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w:t>
            </w:r>
          </w:p>
        </w:tc>
        <w:tc>
          <w:tcPr>
            <w:tcW w:w="5674" w:type="dxa"/>
            <w:tcBorders>
              <w:tl2br w:val="nil"/>
              <w:tr2bl w:val="nil"/>
            </w:tcBorders>
            <w:vAlign w:val="top"/>
          </w:tcPr>
          <w:p w14:paraId="3597EB7D">
            <w:pPr>
              <w:widowControl/>
              <w:spacing w:before="60" w:after="60" w:line="400" w:lineRule="exact"/>
              <w:ind w:right="6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浙江名进建设项目管理有限公司</w:t>
            </w:r>
          </w:p>
        </w:tc>
      </w:tr>
      <w:tr w14:paraId="26A1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70" w:type="dxa"/>
            <w:gridSpan w:val="2"/>
            <w:tcBorders>
              <w:tl2br w:val="nil"/>
              <w:tr2bl w:val="nil"/>
            </w:tcBorders>
            <w:vAlign w:val="top"/>
          </w:tcPr>
          <w:p w14:paraId="7C9FCCA5">
            <w:pPr>
              <w:widowControl/>
              <w:spacing w:before="60" w:after="60" w:line="400" w:lineRule="exact"/>
              <w:ind w:right="6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二○二</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eastAsia="zh-CN"/>
              </w:rPr>
              <w:t>十</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月</w:t>
            </w:r>
          </w:p>
        </w:tc>
      </w:tr>
    </w:tbl>
    <w:p w14:paraId="42086525">
      <w:pPr>
        <w:rPr>
          <w:color w:val="auto"/>
          <w:highlight w:val="none"/>
        </w:rPr>
        <w:sectPr>
          <w:footerReference r:id="rId5" w:type="first"/>
          <w:headerReference r:id="rId3" w:type="default"/>
          <w:footerReference r:id="rId4" w:type="even"/>
          <w:pgSz w:w="11906" w:h="16838"/>
          <w:pgMar w:top="1420" w:right="1134" w:bottom="1134" w:left="1134" w:header="851" w:footer="851" w:gutter="0"/>
          <w:cols w:space="720" w:num="1"/>
          <w:titlePg/>
          <w:docGrid w:linePitch="316" w:charSpace="855"/>
        </w:sectPr>
      </w:pPr>
    </w:p>
    <w:p w14:paraId="08982A5A">
      <w:pPr>
        <w:keepNext/>
        <w:overflowPunct w:val="0"/>
        <w:spacing w:line="360" w:lineRule="auto"/>
        <w:jc w:val="center"/>
        <w:outlineLvl w:val="0"/>
        <w:rPr>
          <w:rFonts w:hint="default" w:ascii="宋体" w:hAnsi="宋体" w:eastAsia="宋体" w:cs="宋体"/>
          <w:b/>
          <w:bCs/>
          <w:color w:val="auto"/>
          <w:kern w:val="0"/>
          <w:sz w:val="32"/>
          <w:szCs w:val="32"/>
          <w:highlight w:val="none"/>
          <w:lang w:val="en-US" w:eastAsia="zh-CN"/>
        </w:rPr>
      </w:pPr>
      <w:bookmarkStart w:id="0" w:name="_Toc14846"/>
      <w:bookmarkStart w:id="1" w:name="_Toc246261260"/>
      <w:bookmarkStart w:id="2" w:name="_Toc245722276"/>
      <w:bookmarkStart w:id="3" w:name="_Toc223715993"/>
      <w:bookmarkStart w:id="4" w:name="_Toc221423614"/>
      <w:bookmarkStart w:id="5" w:name="_Toc239145349"/>
      <w:bookmarkStart w:id="6" w:name="_Toc221356946"/>
      <w:bookmarkStart w:id="7" w:name="_Toc251325209"/>
      <w:bookmarkStart w:id="8" w:name="_Toc222114874"/>
      <w:bookmarkStart w:id="9" w:name="_Toc245191309"/>
      <w:bookmarkStart w:id="10" w:name="_Toc252194847"/>
      <w:bookmarkStart w:id="11" w:name="_Toc241404197"/>
      <w:bookmarkStart w:id="12" w:name="_Toc251592732"/>
      <w:bookmarkStart w:id="13" w:name="_Toc221374621"/>
      <w:bookmarkStart w:id="14" w:name="_Toc221356881"/>
      <w:r>
        <w:rPr>
          <w:rFonts w:hint="eastAsia" w:ascii="宋体" w:hAnsi="宋体" w:eastAsia="宋体" w:cs="宋体"/>
          <w:b/>
          <w:bCs/>
          <w:color w:val="auto"/>
          <w:kern w:val="0"/>
          <w:sz w:val="32"/>
          <w:szCs w:val="32"/>
          <w:highlight w:val="none"/>
          <w:lang w:val="en-US" w:eastAsia="zh-CN"/>
        </w:rPr>
        <w:t>第一章  比选公告</w:t>
      </w:r>
    </w:p>
    <w:p w14:paraId="3E9CD92D">
      <w:pPr>
        <w:keepNext/>
        <w:overflowPunct w:val="0"/>
        <w:spacing w:after="0" w:line="360" w:lineRule="auto"/>
        <w:jc w:val="center"/>
        <w:outlineLvl w:val="0"/>
        <w:rPr>
          <w:rFonts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40"/>
          <w:szCs w:val="40"/>
          <w:highlight w:val="none"/>
          <w:lang w:val="zh-CN"/>
        </w:rPr>
        <w:t>温州市海宸技术开发有限公司路基填筑材料（路基固化土）采购</w:t>
      </w:r>
      <w:r>
        <w:rPr>
          <w:rFonts w:hint="eastAsia" w:ascii="宋体" w:hAnsi="宋体" w:eastAsia="宋体" w:cs="宋体"/>
          <w:b/>
          <w:bCs/>
          <w:color w:val="auto"/>
          <w:kern w:val="0"/>
          <w:sz w:val="40"/>
          <w:szCs w:val="40"/>
          <w:highlight w:val="none"/>
        </w:rPr>
        <w:t>的公开</w:t>
      </w:r>
      <w:r>
        <w:rPr>
          <w:rFonts w:hint="eastAsia" w:ascii="宋体" w:hAnsi="宋体" w:eastAsia="宋体" w:cs="宋体"/>
          <w:b/>
          <w:bCs/>
          <w:color w:val="auto"/>
          <w:kern w:val="0"/>
          <w:sz w:val="40"/>
          <w:szCs w:val="40"/>
          <w:highlight w:val="none"/>
          <w:lang w:val="en-US" w:eastAsia="zh-CN"/>
        </w:rPr>
        <w:t>比选</w:t>
      </w:r>
      <w:r>
        <w:rPr>
          <w:rFonts w:hint="eastAsia" w:ascii="宋体" w:hAnsi="宋体" w:eastAsia="宋体" w:cs="宋体"/>
          <w:b/>
          <w:bCs/>
          <w:color w:val="auto"/>
          <w:kern w:val="0"/>
          <w:sz w:val="40"/>
          <w:szCs w:val="40"/>
          <w:highlight w:val="none"/>
          <w:lang w:val="zh-CN"/>
        </w:rPr>
        <w:t>公告</w:t>
      </w:r>
      <w:bookmarkEnd w:id="0"/>
    </w:p>
    <w:p w14:paraId="44E84272">
      <w:pPr>
        <w:pStyle w:val="17"/>
        <w:spacing w:before="0" w:beforeAutospacing="0" w:after="0" w:afterAutospacing="0" w:line="360" w:lineRule="auto"/>
        <w:ind w:right="60" w:firstLine="420"/>
        <w:rPr>
          <w:rFonts w:ascii="宋体" w:hAnsi="宋体" w:cs="宋体"/>
          <w:color w:val="auto"/>
          <w:sz w:val="22"/>
          <w:szCs w:val="22"/>
          <w:highlight w:val="none"/>
        </w:rPr>
      </w:pPr>
      <w:r>
        <w:rPr>
          <w:rFonts w:hint="eastAsia" w:ascii="宋体" w:hAnsi="宋体" w:cs="宋体"/>
          <w:color w:val="auto"/>
          <w:sz w:val="22"/>
          <w:szCs w:val="22"/>
          <w:highlight w:val="none"/>
        </w:rPr>
        <w:t>温州市海宸技术开发有限公司路基填筑材料（路基固化土）采购</w:t>
      </w:r>
      <w:r>
        <w:rPr>
          <w:rFonts w:hint="eastAsia" w:ascii="宋体" w:hAnsi="宋体" w:cs="宋体"/>
          <w:color w:val="auto"/>
          <w:sz w:val="22"/>
          <w:szCs w:val="22"/>
          <w:highlight w:val="none"/>
          <w:lang w:eastAsia="zh-CN"/>
        </w:rPr>
        <w:t>，经研究决定采取公开比选方式选定，现公开邀请各合格投标人参与</w:t>
      </w:r>
      <w:r>
        <w:rPr>
          <w:rFonts w:hint="eastAsia" w:ascii="宋体" w:hAnsi="宋体" w:cs="宋体"/>
          <w:color w:val="auto"/>
          <w:sz w:val="22"/>
          <w:szCs w:val="22"/>
          <w:highlight w:val="none"/>
        </w:rPr>
        <w:t>。</w:t>
      </w:r>
    </w:p>
    <w:p w14:paraId="535E09C2">
      <w:pPr>
        <w:pStyle w:val="17"/>
        <w:spacing w:before="0" w:beforeAutospacing="0" w:after="0" w:afterAutospacing="0" w:line="360" w:lineRule="auto"/>
        <w:ind w:left="0" w:right="0" w:firstLine="442" w:firstLineChars="200"/>
        <w:rPr>
          <w:rFonts w:ascii="微软雅黑" w:hAnsi="微软雅黑" w:eastAsia="微软雅黑" w:cs="微软雅黑"/>
          <w:color w:val="auto"/>
          <w:sz w:val="27"/>
          <w:szCs w:val="27"/>
          <w:highlight w:val="none"/>
        </w:rPr>
      </w:pPr>
      <w:r>
        <w:rPr>
          <w:rStyle w:val="13"/>
          <w:rFonts w:hint="eastAsia" w:ascii="宋体" w:hAnsi="宋体" w:cs="宋体"/>
          <w:color w:val="auto"/>
          <w:sz w:val="22"/>
          <w:szCs w:val="22"/>
          <w:highlight w:val="none"/>
        </w:rPr>
        <w:t>有关事项告知如下：</w:t>
      </w:r>
    </w:p>
    <w:p w14:paraId="3A7C5D97">
      <w:pPr>
        <w:pStyle w:val="17"/>
        <w:spacing w:before="0" w:beforeAutospacing="0" w:after="0" w:afterAutospacing="0" w:line="360" w:lineRule="auto"/>
        <w:ind w:right="60" w:firstLine="42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一、项目概况与比选范围</w:t>
      </w:r>
      <w:r>
        <w:rPr>
          <w:rFonts w:hint="eastAsia" w:ascii="黑体" w:hAnsi="黑体" w:eastAsia="黑体" w:cs="黑体"/>
          <w:color w:val="auto"/>
          <w:sz w:val="22"/>
          <w:szCs w:val="22"/>
          <w:highlight w:val="none"/>
          <w:lang w:eastAsia="zh-CN"/>
        </w:rPr>
        <w:t>：</w:t>
      </w:r>
    </w:p>
    <w:p w14:paraId="0B880064">
      <w:pPr>
        <w:pStyle w:val="17"/>
        <w:spacing w:before="0" w:beforeAutospacing="0" w:after="0" w:afterAutospacing="0" w:line="360" w:lineRule="auto"/>
        <w:ind w:right="60"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温州市海宸技术开发有限公司路基填筑材料</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路基固化土</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采购，</w:t>
      </w:r>
      <w:r>
        <w:rPr>
          <w:rFonts w:hint="eastAsia" w:ascii="宋体" w:hAnsi="宋体" w:cs="宋体"/>
          <w:color w:val="auto"/>
          <w:sz w:val="22"/>
          <w:szCs w:val="22"/>
          <w:highlight w:val="none"/>
          <w:lang w:val="en-US" w:eastAsia="zh-CN"/>
        </w:rPr>
        <w:t>合同期限为</w:t>
      </w:r>
      <w:r>
        <w:rPr>
          <w:rFonts w:hint="eastAsia" w:ascii="宋体" w:hAnsi="宋体" w:cs="宋体"/>
          <w:color w:val="auto"/>
          <w:sz w:val="22"/>
          <w:szCs w:val="22"/>
          <w:highlight w:val="none"/>
        </w:rPr>
        <w:t>一年</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采购金额为100</w:t>
      </w:r>
      <w:r>
        <w:rPr>
          <w:rFonts w:hint="eastAsia" w:ascii="宋体" w:hAnsi="宋体" w:cs="宋体"/>
          <w:color w:val="auto"/>
          <w:sz w:val="22"/>
          <w:szCs w:val="22"/>
          <w:highlight w:val="none"/>
        </w:rPr>
        <w:t>万元</w:t>
      </w:r>
      <w:r>
        <w:rPr>
          <w:rFonts w:hint="eastAsia" w:ascii="宋体" w:hAnsi="宋体" w:cs="宋体"/>
          <w:color w:val="auto"/>
          <w:sz w:val="22"/>
          <w:szCs w:val="22"/>
          <w:highlight w:val="none"/>
          <w:lang w:val="en-US" w:eastAsia="zh-CN"/>
        </w:rPr>
        <w:t>以内</w:t>
      </w:r>
      <w:r>
        <w:rPr>
          <w:rFonts w:hint="eastAsia" w:ascii="宋体" w:hAnsi="宋体" w:cs="宋体"/>
          <w:color w:val="auto"/>
          <w:sz w:val="22"/>
          <w:szCs w:val="22"/>
          <w:highlight w:val="none"/>
        </w:rPr>
        <w:t>，合同期满或合同总价达采购金额，任一条件达到即视为合作期结束。</w:t>
      </w:r>
      <w:r>
        <w:rPr>
          <w:rFonts w:hint="eastAsia" w:ascii="宋体" w:hAnsi="宋体" w:cs="宋体"/>
          <w:color w:val="auto"/>
          <w:sz w:val="22"/>
          <w:szCs w:val="22"/>
          <w:highlight w:val="none"/>
        </w:rPr>
        <w:t>路基填筑材料（路基固化土）最高限价：</w:t>
      </w:r>
      <w:r>
        <w:rPr>
          <w:rFonts w:hint="eastAsia" w:ascii="宋体" w:hAnsi="宋体" w:cs="宋体"/>
          <w:color w:val="auto"/>
          <w:sz w:val="22"/>
          <w:szCs w:val="22"/>
          <w:highlight w:val="none"/>
          <w:lang w:val="en-US" w:eastAsia="zh-CN"/>
        </w:rPr>
        <w:t>41</w:t>
      </w:r>
      <w:r>
        <w:rPr>
          <w:rFonts w:hint="eastAsia" w:ascii="宋体" w:hAnsi="宋体" w:cs="宋体"/>
          <w:color w:val="auto"/>
          <w:sz w:val="22"/>
          <w:szCs w:val="22"/>
          <w:highlight w:val="none"/>
        </w:rPr>
        <w:t>元/吨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其余内容详见比选文件。</w:t>
      </w:r>
    </w:p>
    <w:p w14:paraId="7A6EDE49">
      <w:pPr>
        <w:pStyle w:val="17"/>
        <w:spacing w:before="0" w:beforeAutospacing="0" w:after="0" w:afterAutospacing="0" w:line="360" w:lineRule="auto"/>
        <w:ind w:right="60" w:firstLine="42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二、单位资质要求：</w:t>
      </w:r>
    </w:p>
    <w:p w14:paraId="5C11F853">
      <w:pPr>
        <w:pStyle w:val="17"/>
        <w:spacing w:before="0" w:beforeAutospacing="0" w:after="0" w:afterAutospacing="0" w:line="360" w:lineRule="auto"/>
        <w:ind w:right="60" w:firstLine="42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投标人应具有路基填筑材料（路基固化土）的生产线，须提供生产线证明资料（包含生产线相关设备采购合同或发票及厂房生产线现场图片等）</w:t>
      </w:r>
    </w:p>
    <w:p w14:paraId="225C3867">
      <w:pPr>
        <w:pStyle w:val="17"/>
        <w:spacing w:before="0" w:beforeAutospacing="0" w:after="0" w:afterAutospacing="0" w:line="360" w:lineRule="auto"/>
        <w:ind w:right="60" w:firstLine="42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投标人应具备独立承担民事责任的能力且具备向招标人提供相应服务的独立法人或其他组织,且具备合法有效的营业执照。</w:t>
      </w:r>
    </w:p>
    <w:p w14:paraId="2199066D">
      <w:pPr>
        <w:pStyle w:val="17"/>
        <w:spacing w:before="0" w:beforeAutospacing="0" w:after="0" w:afterAutospacing="0" w:line="360" w:lineRule="auto"/>
        <w:ind w:right="60" w:firstLine="42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.投标负责人为同一人或者存在控股、管理关系的不同供应商，不得同时参加本项目采购活动。</w:t>
      </w:r>
    </w:p>
    <w:p w14:paraId="626914F6">
      <w:pPr>
        <w:pStyle w:val="17"/>
        <w:spacing w:before="0" w:beforeAutospacing="0" w:after="0" w:afterAutospacing="0" w:line="360" w:lineRule="auto"/>
        <w:ind w:right="60" w:firstLine="42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.本项目不允许联合体投标。</w:t>
      </w:r>
    </w:p>
    <w:p w14:paraId="5C850FD3">
      <w:pPr>
        <w:pStyle w:val="17"/>
        <w:spacing w:before="0" w:beforeAutospacing="0" w:after="0" w:afterAutospacing="0" w:line="360" w:lineRule="auto"/>
        <w:ind w:right="60" w:firstLine="420"/>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三、比选原则：</w:t>
      </w:r>
    </w:p>
    <w:p w14:paraId="50C8328C">
      <w:pPr>
        <w:pStyle w:val="17"/>
        <w:spacing w:before="0" w:beforeAutospacing="0" w:after="0" w:afterAutospacing="0" w:line="360" w:lineRule="auto"/>
        <w:ind w:right="60"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经采购人审核符合要求，采用以下比选方式：报价采用最低价法，以投标报价评分最终得分最高的为中标单位。</w:t>
      </w:r>
    </w:p>
    <w:p w14:paraId="60E733AE">
      <w:pPr>
        <w:pStyle w:val="17"/>
        <w:spacing w:before="0" w:beforeAutospacing="0" w:after="0" w:afterAutospacing="0" w:line="360" w:lineRule="auto"/>
        <w:ind w:right="60" w:firstLine="420"/>
        <w:rPr>
          <w:rFonts w:hint="eastAsia" w:ascii="宋体" w:hAnsi="宋体" w:cs="宋体"/>
          <w:color w:val="auto"/>
          <w:sz w:val="22"/>
          <w:szCs w:val="22"/>
          <w:highlight w:val="none"/>
        </w:rPr>
      </w:pPr>
      <w:r>
        <w:rPr>
          <w:rFonts w:hint="eastAsia" w:ascii="黑体" w:hAnsi="黑体" w:eastAsia="黑体" w:cs="黑体"/>
          <w:color w:val="auto"/>
          <w:sz w:val="22"/>
          <w:szCs w:val="22"/>
          <w:highlight w:val="none"/>
        </w:rPr>
        <w:t>四、报名及比选相关信息：</w:t>
      </w:r>
    </w:p>
    <w:p w14:paraId="1EC6CA8A">
      <w:pPr>
        <w:pStyle w:val="17"/>
        <w:spacing w:before="0" w:beforeAutospacing="0" w:after="0" w:afterAutospacing="0" w:line="360" w:lineRule="auto"/>
        <w:ind w:right="60"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1.获取比选文件方式：网上下载。</w:t>
      </w:r>
    </w:p>
    <w:p w14:paraId="75FC418D">
      <w:pPr>
        <w:pStyle w:val="17"/>
        <w:spacing w:before="0" w:beforeAutospacing="0" w:after="0" w:afterAutospacing="0" w:line="360" w:lineRule="auto"/>
        <w:ind w:right="60" w:firstLine="42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2.投标截止时间：2025年</w:t>
      </w:r>
      <w:r>
        <w:rPr>
          <w:rFonts w:hint="eastAsia" w:ascii="宋体" w:hAnsi="宋体" w:cs="宋体"/>
          <w:color w:val="auto"/>
          <w:sz w:val="22"/>
          <w:szCs w:val="22"/>
          <w:highlight w:val="none"/>
          <w:lang w:val="en-US" w:eastAsia="zh-CN"/>
        </w:rPr>
        <w:t>11</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13</w:t>
      </w:r>
      <w:r>
        <w:rPr>
          <w:rFonts w:hint="eastAsia" w:ascii="宋体" w:hAnsi="宋体" w:cs="宋体"/>
          <w:color w:val="auto"/>
          <w:sz w:val="22"/>
          <w:szCs w:val="22"/>
          <w:highlight w:val="none"/>
        </w:rPr>
        <w:t>日9:</w:t>
      </w:r>
      <w:r>
        <w:rPr>
          <w:rFonts w:hint="eastAsia" w:ascii="宋体" w:hAnsi="宋体" w:cs="宋体"/>
          <w:color w:val="auto"/>
          <w:sz w:val="22"/>
          <w:szCs w:val="22"/>
          <w:highlight w:val="none"/>
          <w:lang w:val="en-US" w:eastAsia="zh-CN"/>
        </w:rPr>
        <w:t>0</w:t>
      </w:r>
      <w:r>
        <w:rPr>
          <w:rFonts w:hint="eastAsia" w:ascii="宋体" w:hAnsi="宋体" w:cs="宋体"/>
          <w:color w:val="auto"/>
          <w:sz w:val="22"/>
          <w:szCs w:val="22"/>
          <w:highlight w:val="none"/>
        </w:rPr>
        <w:t>0</w:t>
      </w:r>
      <w:bookmarkStart w:id="128" w:name="_GoBack"/>
      <w:bookmarkEnd w:id="128"/>
      <w:r>
        <w:rPr>
          <w:rFonts w:hint="eastAsia" w:ascii="宋体" w:hAnsi="宋体" w:cs="宋体"/>
          <w:color w:val="auto"/>
          <w:sz w:val="22"/>
          <w:szCs w:val="22"/>
          <w:highlight w:val="none"/>
        </w:rPr>
        <w:t>（北京时间），请务必在此时间之前递交比选响应文件，逾期送达，将不予接收</w:t>
      </w:r>
      <w:r>
        <w:rPr>
          <w:rFonts w:hint="eastAsia" w:ascii="宋体" w:hAnsi="宋体" w:cs="宋体"/>
          <w:color w:val="auto"/>
          <w:sz w:val="22"/>
          <w:szCs w:val="22"/>
          <w:highlight w:val="none"/>
          <w:lang w:eastAsia="zh-CN"/>
        </w:rPr>
        <w:t>。</w:t>
      </w:r>
    </w:p>
    <w:p w14:paraId="68242E3A">
      <w:pPr>
        <w:pStyle w:val="17"/>
        <w:spacing w:before="0" w:beforeAutospacing="0" w:after="0" w:afterAutospacing="0" w:line="360" w:lineRule="auto"/>
        <w:ind w:right="60" w:firstLine="42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3.投标地点：温州海洋经济发展示范区昆鹏街道灵蓉街 66 号发展大厦 3 号楼 11 层</w:t>
      </w:r>
      <w:r>
        <w:rPr>
          <w:rFonts w:hint="eastAsia" w:ascii="宋体" w:hAnsi="宋体" w:cs="宋体"/>
          <w:color w:val="auto"/>
          <w:sz w:val="22"/>
          <w:szCs w:val="22"/>
          <w:highlight w:val="none"/>
          <w:lang w:eastAsia="zh-CN"/>
        </w:rPr>
        <w:t>。</w:t>
      </w:r>
    </w:p>
    <w:p w14:paraId="4CB8C067">
      <w:pPr>
        <w:pStyle w:val="17"/>
        <w:spacing w:before="0" w:beforeAutospacing="0" w:after="0" w:afterAutospacing="0" w:line="360" w:lineRule="auto"/>
        <w:ind w:right="60"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4.开标时间：同投标截止时间；</w:t>
      </w:r>
    </w:p>
    <w:p w14:paraId="71B0BA5B">
      <w:pPr>
        <w:pStyle w:val="17"/>
        <w:spacing w:before="0" w:beforeAutospacing="0" w:after="0" w:afterAutospacing="0" w:line="360" w:lineRule="auto"/>
        <w:ind w:right="60" w:firstLine="420"/>
        <w:rPr>
          <w:rFonts w:ascii="微软雅黑" w:hAnsi="微软雅黑" w:eastAsia="微软雅黑" w:cs="微软雅黑"/>
          <w:color w:val="auto"/>
          <w:sz w:val="27"/>
          <w:szCs w:val="27"/>
          <w:highlight w:val="none"/>
        </w:rPr>
      </w:pPr>
      <w:r>
        <w:rPr>
          <w:rFonts w:hint="eastAsia" w:ascii="宋体" w:hAnsi="宋体" w:cs="宋体"/>
          <w:color w:val="auto"/>
          <w:sz w:val="22"/>
          <w:szCs w:val="22"/>
          <w:highlight w:val="none"/>
        </w:rPr>
        <w:t>5.开标地点：温州海洋经济发展示范区昆鹏街道灵蓉街 66 号发展大厦 3 号楼 11 层 。</w:t>
      </w:r>
    </w:p>
    <w:p w14:paraId="1867B190">
      <w:pPr>
        <w:pStyle w:val="17"/>
        <w:spacing w:before="0" w:beforeAutospacing="0" w:after="0" w:afterAutospacing="0" w:line="360" w:lineRule="auto"/>
        <w:ind w:left="0" w:right="60" w:firstLine="420"/>
        <w:rPr>
          <w:rStyle w:val="12"/>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五</w:t>
      </w:r>
      <w:r>
        <w:rPr>
          <w:rStyle w:val="12"/>
          <w:rFonts w:hint="eastAsia" w:ascii="黑体" w:hAnsi="黑体" w:eastAsia="黑体" w:cs="黑体"/>
          <w:color w:val="auto"/>
          <w:sz w:val="22"/>
          <w:szCs w:val="22"/>
          <w:highlight w:val="none"/>
          <w:lang w:val="en-US" w:eastAsia="zh-CN"/>
        </w:rPr>
        <w:t>、投标保证金</w:t>
      </w:r>
    </w:p>
    <w:p w14:paraId="4B11262B">
      <w:pPr>
        <w:pStyle w:val="17"/>
        <w:numPr>
          <w:ilvl w:val="0"/>
          <w:numId w:val="0"/>
        </w:numPr>
        <w:spacing w:before="0" w:beforeAutospacing="0" w:after="0" w:afterAutospacing="0" w:line="360" w:lineRule="auto"/>
        <w:ind w:left="390" w:leftChars="0" w:right="6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1.投标保证金递交截止时间：同投标截止时间；</w:t>
      </w:r>
    </w:p>
    <w:p w14:paraId="268800B6">
      <w:pPr>
        <w:pStyle w:val="17"/>
        <w:numPr>
          <w:ilvl w:val="0"/>
          <w:numId w:val="0"/>
        </w:numPr>
        <w:spacing w:before="0" w:beforeAutospacing="0" w:after="0" w:afterAutospacing="0" w:line="360" w:lineRule="auto"/>
        <w:ind w:left="390" w:leftChars="0" w:right="6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2.投标保证金金额：人民币20000元整（¥贰万元整）；</w:t>
      </w:r>
    </w:p>
    <w:p w14:paraId="4460166D">
      <w:pPr>
        <w:pStyle w:val="17"/>
        <w:numPr>
          <w:ilvl w:val="0"/>
          <w:numId w:val="0"/>
        </w:numPr>
        <w:spacing w:before="0" w:beforeAutospacing="0" w:after="0" w:afterAutospacing="0" w:line="360" w:lineRule="auto"/>
        <w:ind w:left="390" w:leftChars="0" w:right="6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3.投标保证金的形式：提交现金，密封完好，开标时携带至开标现场，同响应文件一起递交。</w:t>
      </w:r>
    </w:p>
    <w:p w14:paraId="2B05EDA2">
      <w:pPr>
        <w:pStyle w:val="17"/>
        <w:spacing w:before="0" w:beforeAutospacing="0" w:after="0" w:afterAutospacing="0" w:line="360" w:lineRule="auto"/>
        <w:ind w:left="0" w:right="60" w:firstLine="420"/>
        <w:rPr>
          <w:rStyle w:val="12"/>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六、</w:t>
      </w:r>
      <w:r>
        <w:rPr>
          <w:rStyle w:val="12"/>
          <w:rFonts w:hint="eastAsia" w:ascii="黑体" w:hAnsi="黑体" w:eastAsia="黑体" w:cs="黑体"/>
          <w:color w:val="auto"/>
          <w:sz w:val="22"/>
          <w:szCs w:val="22"/>
          <w:highlight w:val="none"/>
          <w:lang w:val="en-US" w:eastAsia="zh-CN"/>
        </w:rPr>
        <w:t>联系方式：</w:t>
      </w:r>
    </w:p>
    <w:p w14:paraId="439F5E0C">
      <w:pPr>
        <w:pStyle w:val="17"/>
        <w:numPr>
          <w:ilvl w:val="0"/>
          <w:numId w:val="0"/>
        </w:numPr>
        <w:spacing w:before="0" w:beforeAutospacing="0" w:after="0" w:afterAutospacing="0" w:line="360" w:lineRule="auto"/>
        <w:ind w:left="390" w:right="60"/>
        <w:rPr>
          <w:rStyle w:val="12"/>
          <w:rFonts w:hint="eastAsia" w:ascii="宋体" w:hAnsi="宋体" w:cs="宋体"/>
          <w:color w:val="auto"/>
          <w:sz w:val="22"/>
          <w:szCs w:val="22"/>
          <w:highlight w:val="none"/>
          <w:lang w:val="en-US" w:eastAsia="zh-CN"/>
        </w:rPr>
      </w:pPr>
      <w:r>
        <w:rPr>
          <w:rStyle w:val="12"/>
          <w:rFonts w:hint="eastAsia" w:ascii="宋体" w:hAnsi="宋体" w:cs="宋体"/>
          <w:color w:val="auto"/>
          <w:sz w:val="22"/>
          <w:szCs w:val="22"/>
          <w:highlight w:val="none"/>
          <w:lang w:val="en-US" w:eastAsia="zh-CN"/>
        </w:rPr>
        <w:t>采购人：</w:t>
      </w:r>
      <w:r>
        <w:rPr>
          <w:rFonts w:hint="eastAsia" w:ascii="宋体" w:hAnsi="宋体" w:cs="宋体"/>
          <w:color w:val="auto"/>
          <w:sz w:val="22"/>
          <w:szCs w:val="22"/>
          <w:highlight w:val="none"/>
          <w:lang w:val="en-US" w:eastAsia="zh-CN"/>
        </w:rPr>
        <w:t>温州市海宸技术开发有限公司</w:t>
      </w:r>
    </w:p>
    <w:p w14:paraId="385B52A7">
      <w:pPr>
        <w:pStyle w:val="17"/>
        <w:numPr>
          <w:ilvl w:val="0"/>
          <w:numId w:val="0"/>
        </w:numPr>
        <w:spacing w:before="0" w:beforeAutospacing="0" w:after="0" w:afterAutospacing="0" w:line="360" w:lineRule="auto"/>
        <w:ind w:left="390" w:right="60"/>
        <w:rPr>
          <w:rStyle w:val="12"/>
          <w:rFonts w:hint="eastAsia" w:ascii="宋体" w:hAnsi="宋体" w:cs="宋体"/>
          <w:color w:val="auto"/>
          <w:sz w:val="22"/>
          <w:szCs w:val="22"/>
          <w:highlight w:val="none"/>
          <w:lang w:val="en-US" w:eastAsia="zh-CN"/>
        </w:rPr>
      </w:pPr>
      <w:r>
        <w:rPr>
          <w:rStyle w:val="12"/>
          <w:rFonts w:hint="eastAsia" w:ascii="宋体" w:hAnsi="宋体" w:cs="宋体"/>
          <w:color w:val="auto"/>
          <w:sz w:val="22"/>
          <w:szCs w:val="22"/>
          <w:highlight w:val="none"/>
          <w:lang w:val="en-US" w:eastAsia="zh-CN"/>
        </w:rPr>
        <w:t>联系人：</w:t>
      </w:r>
      <w:r>
        <w:rPr>
          <w:rFonts w:hint="eastAsia" w:ascii="宋体" w:hAnsi="宋体" w:cs="宋体"/>
          <w:color w:val="auto"/>
          <w:sz w:val="22"/>
          <w:szCs w:val="22"/>
          <w:highlight w:val="none"/>
          <w:lang w:val="en-US" w:eastAsia="zh-CN"/>
        </w:rPr>
        <w:t>徐先生</w:t>
      </w:r>
    </w:p>
    <w:p w14:paraId="3F9E35CB">
      <w:pPr>
        <w:pStyle w:val="17"/>
        <w:numPr>
          <w:ilvl w:val="0"/>
          <w:numId w:val="0"/>
        </w:numPr>
        <w:spacing w:before="0" w:beforeAutospacing="0" w:after="0" w:afterAutospacing="0" w:line="360" w:lineRule="auto"/>
        <w:ind w:left="390" w:right="60"/>
        <w:rPr>
          <w:rStyle w:val="12"/>
          <w:rFonts w:hint="eastAsia" w:ascii="宋体" w:hAnsi="宋体" w:cs="宋体"/>
          <w:color w:val="auto"/>
          <w:sz w:val="22"/>
          <w:szCs w:val="22"/>
          <w:highlight w:val="none"/>
          <w:lang w:val="en-US" w:eastAsia="zh-CN"/>
        </w:rPr>
      </w:pPr>
      <w:r>
        <w:rPr>
          <w:rStyle w:val="12"/>
          <w:rFonts w:hint="eastAsia" w:ascii="宋体" w:hAnsi="宋体" w:cs="宋体"/>
          <w:color w:val="auto"/>
          <w:sz w:val="22"/>
          <w:szCs w:val="22"/>
          <w:highlight w:val="none"/>
          <w:lang w:val="en-US" w:eastAsia="zh-CN"/>
        </w:rPr>
        <w:t>联系电话：</w:t>
      </w:r>
      <w:r>
        <w:rPr>
          <w:rFonts w:hint="eastAsia" w:ascii="宋体" w:hAnsi="宋体" w:cs="宋体"/>
          <w:color w:val="auto"/>
          <w:sz w:val="22"/>
          <w:szCs w:val="22"/>
          <w:highlight w:val="none"/>
          <w:lang w:val="en-US" w:eastAsia="zh-CN"/>
        </w:rPr>
        <w:t>0577-86985008</w:t>
      </w:r>
    </w:p>
    <w:p w14:paraId="54DFBF46">
      <w:pPr>
        <w:pStyle w:val="17"/>
        <w:numPr>
          <w:ilvl w:val="0"/>
          <w:numId w:val="0"/>
        </w:numPr>
        <w:spacing w:before="0" w:beforeAutospacing="0" w:after="0" w:afterAutospacing="0" w:line="360" w:lineRule="auto"/>
        <w:ind w:left="390" w:right="60"/>
        <w:rPr>
          <w:rStyle w:val="12"/>
          <w:rFonts w:hint="eastAsia" w:ascii="宋体" w:hAnsi="宋体" w:cs="宋体"/>
          <w:color w:val="auto"/>
          <w:sz w:val="22"/>
          <w:szCs w:val="22"/>
          <w:highlight w:val="none"/>
          <w:lang w:val="en-US" w:eastAsia="zh-CN"/>
        </w:rPr>
      </w:pPr>
      <w:r>
        <w:rPr>
          <w:rStyle w:val="12"/>
          <w:rFonts w:hint="eastAsia" w:ascii="宋体" w:hAnsi="宋体" w:cs="宋体"/>
          <w:color w:val="auto"/>
          <w:sz w:val="22"/>
          <w:szCs w:val="22"/>
          <w:highlight w:val="none"/>
          <w:lang w:val="en-US" w:eastAsia="zh-CN"/>
        </w:rPr>
        <w:t>联系地址：</w:t>
      </w:r>
      <w:r>
        <w:rPr>
          <w:rFonts w:hint="eastAsia" w:ascii="宋体" w:hAnsi="宋体" w:cs="宋体"/>
          <w:color w:val="auto"/>
          <w:sz w:val="22"/>
          <w:szCs w:val="22"/>
          <w:highlight w:val="none"/>
          <w:lang w:val="en-US" w:eastAsia="zh-CN"/>
        </w:rPr>
        <w:t>浙江省温州海洋经济发展示范区昆鹏街道灵荣街66号发展大楼3号楼11楼东南侧</w:t>
      </w:r>
    </w:p>
    <w:p w14:paraId="77C16398">
      <w:pPr>
        <w:pStyle w:val="17"/>
        <w:numPr>
          <w:ilvl w:val="0"/>
          <w:numId w:val="0"/>
        </w:numPr>
        <w:spacing w:before="0" w:beforeAutospacing="0" w:after="0" w:afterAutospacing="0" w:line="360" w:lineRule="auto"/>
        <w:ind w:left="390" w:right="60"/>
        <w:rPr>
          <w:rStyle w:val="12"/>
          <w:rFonts w:hint="eastAsia" w:ascii="宋体" w:hAnsi="宋体" w:cs="宋体"/>
          <w:color w:val="auto"/>
          <w:sz w:val="22"/>
          <w:szCs w:val="22"/>
          <w:highlight w:val="none"/>
          <w:lang w:val="en-US" w:eastAsia="zh-CN"/>
        </w:rPr>
      </w:pPr>
      <w:r>
        <w:rPr>
          <w:rStyle w:val="12"/>
          <w:rFonts w:hint="eastAsia" w:ascii="宋体" w:hAnsi="宋体" w:cs="宋体"/>
          <w:color w:val="auto"/>
          <w:sz w:val="22"/>
          <w:szCs w:val="22"/>
          <w:highlight w:val="none"/>
          <w:lang w:val="en-US" w:eastAsia="zh-CN"/>
        </w:rPr>
        <w:t>比选代理机构：</w:t>
      </w:r>
      <w:r>
        <w:rPr>
          <w:rFonts w:hint="eastAsia" w:ascii="宋体" w:hAnsi="宋体" w:cs="宋体"/>
          <w:color w:val="auto"/>
          <w:sz w:val="22"/>
          <w:szCs w:val="22"/>
          <w:highlight w:val="none"/>
          <w:lang w:val="en-US" w:eastAsia="zh-CN"/>
        </w:rPr>
        <w:t>浙江名进建设项目管理有限公司</w:t>
      </w:r>
    </w:p>
    <w:p w14:paraId="77E30D8F">
      <w:pPr>
        <w:pStyle w:val="17"/>
        <w:numPr>
          <w:ilvl w:val="0"/>
          <w:numId w:val="0"/>
        </w:numPr>
        <w:spacing w:before="0" w:beforeAutospacing="0" w:after="0" w:afterAutospacing="0" w:line="360" w:lineRule="auto"/>
        <w:ind w:left="390" w:right="60"/>
        <w:rPr>
          <w:rStyle w:val="12"/>
          <w:rFonts w:hint="default" w:ascii="宋体" w:hAnsi="宋体" w:cs="宋体"/>
          <w:color w:val="auto"/>
          <w:sz w:val="22"/>
          <w:szCs w:val="22"/>
          <w:highlight w:val="none"/>
          <w:lang w:val="en-US" w:eastAsia="zh-CN"/>
        </w:rPr>
      </w:pPr>
      <w:r>
        <w:rPr>
          <w:rStyle w:val="12"/>
          <w:rFonts w:hint="eastAsia" w:ascii="宋体" w:hAnsi="宋体" w:cs="宋体"/>
          <w:color w:val="auto"/>
          <w:sz w:val="22"/>
          <w:szCs w:val="22"/>
          <w:highlight w:val="none"/>
          <w:lang w:val="en-US" w:eastAsia="zh-CN"/>
        </w:rPr>
        <w:t>联系人：</w:t>
      </w:r>
      <w:r>
        <w:rPr>
          <w:rFonts w:hint="eastAsia" w:ascii="宋体" w:hAnsi="宋体" w:cs="宋体"/>
          <w:color w:val="auto"/>
          <w:sz w:val="22"/>
          <w:szCs w:val="22"/>
          <w:highlight w:val="none"/>
          <w:lang w:val="en-US" w:eastAsia="zh-CN"/>
        </w:rPr>
        <w:t>黄媛媛</w:t>
      </w:r>
    </w:p>
    <w:p w14:paraId="75443F3F">
      <w:pPr>
        <w:pStyle w:val="17"/>
        <w:numPr>
          <w:ilvl w:val="0"/>
          <w:numId w:val="0"/>
        </w:numPr>
        <w:spacing w:before="0" w:beforeAutospacing="0" w:after="0" w:afterAutospacing="0" w:line="360" w:lineRule="auto"/>
        <w:ind w:left="390" w:right="60"/>
        <w:rPr>
          <w:rStyle w:val="12"/>
          <w:rFonts w:hint="default" w:ascii="宋体" w:hAnsi="宋体" w:cs="宋体"/>
          <w:color w:val="auto"/>
          <w:sz w:val="22"/>
          <w:szCs w:val="22"/>
          <w:highlight w:val="none"/>
          <w:lang w:val="en-US" w:eastAsia="zh-CN"/>
        </w:rPr>
      </w:pPr>
      <w:r>
        <w:rPr>
          <w:rStyle w:val="12"/>
          <w:rFonts w:hint="eastAsia" w:ascii="宋体" w:hAnsi="宋体" w:cs="宋体"/>
          <w:color w:val="auto"/>
          <w:sz w:val="22"/>
          <w:szCs w:val="22"/>
          <w:highlight w:val="none"/>
          <w:lang w:val="en-US" w:eastAsia="zh-CN"/>
        </w:rPr>
        <w:t>联系电话：</w:t>
      </w:r>
      <w:r>
        <w:rPr>
          <w:rFonts w:hint="eastAsia" w:ascii="宋体" w:hAnsi="宋体" w:cs="宋体"/>
          <w:color w:val="auto"/>
          <w:sz w:val="22"/>
          <w:szCs w:val="22"/>
          <w:highlight w:val="none"/>
          <w:lang w:val="en-US" w:eastAsia="zh-CN"/>
        </w:rPr>
        <w:t>13357506223</w:t>
      </w:r>
    </w:p>
    <w:p w14:paraId="64B363ED">
      <w:pPr>
        <w:pStyle w:val="17"/>
        <w:numPr>
          <w:ilvl w:val="0"/>
          <w:numId w:val="0"/>
        </w:numPr>
        <w:spacing w:before="0" w:beforeAutospacing="0" w:after="0" w:afterAutospacing="0" w:line="360" w:lineRule="auto"/>
        <w:ind w:left="390" w:right="60" w:firstLine="0"/>
        <w:rPr>
          <w:rFonts w:hint="eastAsia" w:ascii="宋体" w:hAnsi="宋体" w:eastAsia="宋体" w:cs="宋体"/>
          <w:color w:val="auto"/>
          <w:sz w:val="22"/>
          <w:szCs w:val="22"/>
          <w:highlight w:val="none"/>
        </w:rPr>
      </w:pPr>
      <w:r>
        <w:rPr>
          <w:rStyle w:val="12"/>
          <w:rFonts w:hint="eastAsia" w:ascii="宋体" w:hAnsi="宋体" w:cs="宋体"/>
          <w:color w:val="auto"/>
          <w:sz w:val="22"/>
          <w:szCs w:val="22"/>
          <w:highlight w:val="none"/>
          <w:lang w:val="en-US" w:eastAsia="zh-CN"/>
        </w:rPr>
        <w:t>联系地址：</w:t>
      </w:r>
      <w:r>
        <w:rPr>
          <w:rFonts w:hint="eastAsia" w:ascii="宋体" w:hAnsi="宋体" w:cs="宋体"/>
          <w:color w:val="auto"/>
          <w:sz w:val="22"/>
          <w:szCs w:val="22"/>
          <w:highlight w:val="none"/>
          <w:lang w:val="en-US" w:eastAsia="zh-CN"/>
        </w:rPr>
        <w:t>温州市鹿城区上美小区11幢一单元0402室</w:t>
      </w:r>
    </w:p>
    <w:p w14:paraId="09E5361A">
      <w:pPr>
        <w:widowControl/>
        <w:jc w:val="left"/>
        <w:rPr>
          <w:rFonts w:ascii="宋体" w:hAnsi="宋体" w:eastAsia="宋体" w:cs="宋体"/>
          <w:b/>
          <w:bCs/>
          <w:color w:val="auto"/>
          <w:kern w:val="0"/>
          <w:sz w:val="29"/>
          <w:szCs w:val="29"/>
          <w:highlight w:val="none"/>
        </w:rPr>
      </w:pPr>
      <w:r>
        <w:rPr>
          <w:rFonts w:hint="eastAsia" w:ascii="宋体" w:hAnsi="宋体" w:eastAsia="宋体" w:cs="宋体"/>
          <w:b/>
          <w:bCs/>
          <w:color w:val="auto"/>
          <w:kern w:val="0"/>
          <w:sz w:val="29"/>
          <w:szCs w:val="29"/>
          <w:highlight w:val="none"/>
        </w:rPr>
        <w:br w:type="page"/>
      </w:r>
    </w:p>
    <w:p w14:paraId="3415C501">
      <w:pPr>
        <w:keepNext/>
        <w:spacing w:afterLines="100"/>
        <w:jc w:val="center"/>
        <w:outlineLvl w:val="0"/>
        <w:rPr>
          <w:rFonts w:ascii="宋体" w:hAnsi="宋体" w:eastAsia="宋体" w:cs="宋体"/>
          <w:b/>
          <w:bCs/>
          <w:color w:val="auto"/>
          <w:kern w:val="0"/>
          <w:sz w:val="32"/>
          <w:szCs w:val="32"/>
          <w:highlight w:val="none"/>
          <w:lang w:val="zh-CN"/>
        </w:rPr>
      </w:pPr>
      <w:bookmarkStart w:id="15" w:name="_Toc10475"/>
      <w:r>
        <w:rPr>
          <w:rFonts w:hint="eastAsia" w:ascii="宋体" w:hAnsi="宋体" w:eastAsia="宋体" w:cs="宋体"/>
          <w:b/>
          <w:bCs/>
          <w:color w:val="auto"/>
          <w:kern w:val="0"/>
          <w:sz w:val="32"/>
          <w:szCs w:val="32"/>
          <w:highlight w:val="none"/>
          <w:lang w:val="en-US" w:eastAsia="zh-CN"/>
        </w:rPr>
        <w:t xml:space="preserve">第二章  </w:t>
      </w:r>
      <w:r>
        <w:rPr>
          <w:rFonts w:hint="eastAsia" w:ascii="宋体" w:hAnsi="宋体" w:eastAsia="宋体" w:cs="宋体"/>
          <w:b/>
          <w:bCs/>
          <w:color w:val="auto"/>
          <w:kern w:val="0"/>
          <w:sz w:val="32"/>
          <w:szCs w:val="32"/>
          <w:highlight w:val="none"/>
          <w:lang w:val="zh-CN"/>
        </w:rPr>
        <w:t>投标供应商须知前附表</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11"/>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8"/>
        <w:gridCol w:w="1687"/>
        <w:gridCol w:w="7119"/>
      </w:tblGrid>
      <w:tr w14:paraId="386B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exact"/>
        </w:trPr>
        <w:tc>
          <w:tcPr>
            <w:tcW w:w="1048" w:type="dxa"/>
            <w:tcBorders>
              <w:top w:val="single" w:color="auto" w:sz="4" w:space="0"/>
              <w:left w:val="single" w:color="auto" w:sz="4" w:space="0"/>
              <w:bottom w:val="single" w:color="auto" w:sz="4" w:space="0"/>
              <w:right w:val="single" w:color="auto" w:sz="4" w:space="0"/>
            </w:tcBorders>
            <w:vAlign w:val="center"/>
          </w:tcPr>
          <w:p w14:paraId="3AC2A0F9">
            <w:pPr>
              <w:spacing w:line="300" w:lineRule="exact"/>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序号</w:t>
            </w:r>
          </w:p>
        </w:tc>
        <w:tc>
          <w:tcPr>
            <w:tcW w:w="1687" w:type="dxa"/>
            <w:tcBorders>
              <w:top w:val="single" w:color="auto" w:sz="4" w:space="0"/>
              <w:left w:val="single" w:color="auto" w:sz="4" w:space="0"/>
              <w:bottom w:val="single" w:color="auto" w:sz="4" w:space="0"/>
              <w:right w:val="single" w:color="auto" w:sz="4" w:space="0"/>
            </w:tcBorders>
            <w:vAlign w:val="center"/>
          </w:tcPr>
          <w:p w14:paraId="397BB58C">
            <w:pPr>
              <w:spacing w:line="300" w:lineRule="exact"/>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条款名称</w:t>
            </w:r>
          </w:p>
        </w:tc>
        <w:tc>
          <w:tcPr>
            <w:tcW w:w="7119" w:type="dxa"/>
            <w:tcBorders>
              <w:top w:val="single" w:color="auto" w:sz="4" w:space="0"/>
              <w:left w:val="single" w:color="auto" w:sz="4" w:space="0"/>
              <w:bottom w:val="single" w:color="auto" w:sz="4" w:space="0"/>
              <w:right w:val="single" w:color="auto" w:sz="4" w:space="0"/>
            </w:tcBorders>
            <w:vAlign w:val="center"/>
          </w:tcPr>
          <w:p w14:paraId="39A70369">
            <w:pPr>
              <w:spacing w:line="300" w:lineRule="exact"/>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编列内容</w:t>
            </w:r>
          </w:p>
        </w:tc>
      </w:tr>
      <w:tr w14:paraId="475F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48" w:type="dxa"/>
            <w:tcBorders>
              <w:top w:val="single" w:color="auto" w:sz="4" w:space="0"/>
              <w:left w:val="single" w:color="auto" w:sz="4" w:space="0"/>
              <w:bottom w:val="single" w:color="auto" w:sz="4" w:space="0"/>
              <w:right w:val="single" w:color="auto" w:sz="4" w:space="0"/>
            </w:tcBorders>
            <w:vAlign w:val="center"/>
          </w:tcPr>
          <w:p w14:paraId="1ADD6630">
            <w:pPr>
              <w:spacing w:line="300" w:lineRule="exact"/>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w:t>
            </w:r>
          </w:p>
        </w:tc>
        <w:tc>
          <w:tcPr>
            <w:tcW w:w="1687" w:type="dxa"/>
            <w:tcBorders>
              <w:top w:val="single" w:color="auto" w:sz="4" w:space="0"/>
              <w:left w:val="single" w:color="auto" w:sz="4" w:space="0"/>
              <w:bottom w:val="single" w:color="auto" w:sz="4" w:space="0"/>
              <w:right w:val="single" w:color="auto" w:sz="4" w:space="0"/>
            </w:tcBorders>
            <w:vAlign w:val="center"/>
          </w:tcPr>
          <w:p w14:paraId="2F0395E3">
            <w:pPr>
              <w:spacing w:line="400" w:lineRule="exact"/>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采购人</w:t>
            </w:r>
          </w:p>
        </w:tc>
        <w:tc>
          <w:tcPr>
            <w:tcW w:w="7119" w:type="dxa"/>
            <w:tcBorders>
              <w:top w:val="single" w:color="auto" w:sz="4" w:space="0"/>
              <w:left w:val="single" w:color="auto" w:sz="4" w:space="0"/>
              <w:bottom w:val="single" w:color="auto" w:sz="4" w:space="0"/>
              <w:right w:val="single" w:color="auto" w:sz="4" w:space="0"/>
            </w:tcBorders>
            <w:vAlign w:val="center"/>
          </w:tcPr>
          <w:p w14:paraId="6252F1F0">
            <w:pPr>
              <w:spacing w:line="400" w:lineRule="exac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温州市海宸技术开发有限公司</w:t>
            </w:r>
          </w:p>
        </w:tc>
      </w:tr>
      <w:tr w14:paraId="0BAA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48" w:type="dxa"/>
            <w:tcBorders>
              <w:top w:val="single" w:color="auto" w:sz="4" w:space="0"/>
              <w:left w:val="single" w:color="auto" w:sz="4" w:space="0"/>
              <w:bottom w:val="single" w:color="auto" w:sz="4" w:space="0"/>
              <w:right w:val="single" w:color="auto" w:sz="4" w:space="0"/>
            </w:tcBorders>
            <w:vAlign w:val="center"/>
          </w:tcPr>
          <w:p w14:paraId="62EEFFD9">
            <w:pPr>
              <w:spacing w:line="300" w:lineRule="exact"/>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w:t>
            </w:r>
          </w:p>
        </w:tc>
        <w:tc>
          <w:tcPr>
            <w:tcW w:w="1687" w:type="dxa"/>
            <w:tcBorders>
              <w:top w:val="single" w:color="auto" w:sz="4" w:space="0"/>
              <w:left w:val="single" w:color="auto" w:sz="4" w:space="0"/>
              <w:bottom w:val="single" w:color="auto" w:sz="4" w:space="0"/>
              <w:right w:val="single" w:color="auto" w:sz="4" w:space="0"/>
            </w:tcBorders>
            <w:vAlign w:val="center"/>
          </w:tcPr>
          <w:p w14:paraId="4022C5F8">
            <w:pPr>
              <w:spacing w:line="400" w:lineRule="exact"/>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项目名称</w:t>
            </w:r>
          </w:p>
        </w:tc>
        <w:tc>
          <w:tcPr>
            <w:tcW w:w="7119" w:type="dxa"/>
            <w:tcBorders>
              <w:top w:val="single" w:color="auto" w:sz="4" w:space="0"/>
              <w:left w:val="single" w:color="auto" w:sz="4" w:space="0"/>
              <w:bottom w:val="single" w:color="auto" w:sz="4" w:space="0"/>
              <w:right w:val="single" w:color="auto" w:sz="4" w:space="0"/>
            </w:tcBorders>
            <w:vAlign w:val="center"/>
          </w:tcPr>
          <w:p w14:paraId="7FFAC0C2">
            <w:pPr>
              <w:spacing w:line="400" w:lineRule="exac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温州市海宸技术开发有限公司路基填筑材料（路基固化土）采购</w:t>
            </w:r>
          </w:p>
        </w:tc>
      </w:tr>
      <w:tr w14:paraId="2C4A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48" w:type="dxa"/>
            <w:tcBorders>
              <w:top w:val="single" w:color="auto" w:sz="4" w:space="0"/>
              <w:left w:val="single" w:color="auto" w:sz="4" w:space="0"/>
              <w:bottom w:val="single" w:color="auto" w:sz="4" w:space="0"/>
              <w:right w:val="single" w:color="auto" w:sz="4" w:space="0"/>
            </w:tcBorders>
            <w:vAlign w:val="center"/>
          </w:tcPr>
          <w:p w14:paraId="23C88708">
            <w:pPr>
              <w:spacing w:line="300" w:lineRule="exact"/>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3</w:t>
            </w:r>
          </w:p>
        </w:tc>
        <w:tc>
          <w:tcPr>
            <w:tcW w:w="1687" w:type="dxa"/>
            <w:tcBorders>
              <w:top w:val="single" w:color="auto" w:sz="4" w:space="0"/>
              <w:left w:val="single" w:color="auto" w:sz="4" w:space="0"/>
              <w:bottom w:val="single" w:color="auto" w:sz="4" w:space="0"/>
              <w:right w:val="single" w:color="auto" w:sz="4" w:space="0"/>
            </w:tcBorders>
            <w:vAlign w:val="center"/>
          </w:tcPr>
          <w:p w14:paraId="3B7BE1B2">
            <w:pPr>
              <w:spacing w:line="400" w:lineRule="exact"/>
              <w:jc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资格审查方式</w:t>
            </w:r>
          </w:p>
        </w:tc>
        <w:tc>
          <w:tcPr>
            <w:tcW w:w="7119" w:type="dxa"/>
            <w:tcBorders>
              <w:top w:val="single" w:color="auto" w:sz="4" w:space="0"/>
              <w:left w:val="single" w:color="auto" w:sz="4" w:space="0"/>
              <w:bottom w:val="single" w:color="auto" w:sz="4" w:space="0"/>
              <w:right w:val="single" w:color="auto" w:sz="4" w:space="0"/>
            </w:tcBorders>
            <w:vAlign w:val="center"/>
          </w:tcPr>
          <w:p w14:paraId="11DD5F6D">
            <w:pPr>
              <w:spacing w:line="400" w:lineRule="exact"/>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rPr>
              <w:t>资格后审</w:t>
            </w:r>
          </w:p>
        </w:tc>
      </w:tr>
      <w:tr w14:paraId="662B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1048" w:type="dxa"/>
            <w:tcBorders>
              <w:top w:val="single" w:color="auto" w:sz="4" w:space="0"/>
              <w:left w:val="single" w:color="auto" w:sz="4" w:space="0"/>
              <w:bottom w:val="single" w:color="auto" w:sz="4" w:space="0"/>
              <w:right w:val="single" w:color="auto" w:sz="4" w:space="0"/>
            </w:tcBorders>
            <w:vAlign w:val="center"/>
          </w:tcPr>
          <w:p w14:paraId="285910CF">
            <w:pPr>
              <w:spacing w:line="30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4</w:t>
            </w:r>
          </w:p>
        </w:tc>
        <w:tc>
          <w:tcPr>
            <w:tcW w:w="1687" w:type="dxa"/>
            <w:tcBorders>
              <w:top w:val="single" w:color="auto" w:sz="4" w:space="0"/>
              <w:left w:val="single" w:color="auto" w:sz="4" w:space="0"/>
              <w:bottom w:val="single" w:color="auto" w:sz="4" w:space="0"/>
              <w:right w:val="single" w:color="auto" w:sz="4" w:space="0"/>
            </w:tcBorders>
            <w:vAlign w:val="center"/>
          </w:tcPr>
          <w:p w14:paraId="75BD9DCA">
            <w:pPr>
              <w:spacing w:line="40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响应文件份数</w:t>
            </w:r>
          </w:p>
        </w:tc>
        <w:tc>
          <w:tcPr>
            <w:tcW w:w="7119" w:type="dxa"/>
            <w:tcBorders>
              <w:top w:val="single" w:color="auto" w:sz="4" w:space="0"/>
              <w:left w:val="single" w:color="auto" w:sz="4" w:space="0"/>
              <w:bottom w:val="single" w:color="auto" w:sz="4" w:space="0"/>
              <w:right w:val="single" w:color="auto" w:sz="4" w:space="0"/>
            </w:tcBorders>
            <w:vAlign w:val="center"/>
          </w:tcPr>
          <w:p w14:paraId="2409CD97">
            <w:pPr>
              <w:spacing w:line="400" w:lineRule="exac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一式</w:t>
            </w:r>
            <w:r>
              <w:rPr>
                <w:rFonts w:hint="eastAsia" w:ascii="宋体" w:hAnsi="宋体" w:eastAsia="宋体" w:cs="宋体"/>
                <w:color w:val="auto"/>
                <w:kern w:val="0"/>
                <w:sz w:val="22"/>
                <w:highlight w:val="none"/>
                <w:lang w:val="en-US" w:eastAsia="zh-CN"/>
              </w:rPr>
              <w:t>肆</w:t>
            </w:r>
            <w:r>
              <w:rPr>
                <w:rFonts w:hint="eastAsia" w:ascii="宋体" w:hAnsi="宋体" w:eastAsia="宋体" w:cs="宋体"/>
                <w:color w:val="auto"/>
                <w:kern w:val="0"/>
                <w:sz w:val="22"/>
                <w:highlight w:val="none"/>
                <w:lang w:eastAsia="zh-CN"/>
              </w:rPr>
              <w:t>份，其中正本壹份、副本</w:t>
            </w:r>
            <w:r>
              <w:rPr>
                <w:rFonts w:hint="eastAsia" w:ascii="宋体" w:hAnsi="宋体" w:eastAsia="宋体" w:cs="宋体"/>
                <w:color w:val="auto"/>
                <w:kern w:val="0"/>
                <w:sz w:val="22"/>
                <w:highlight w:val="none"/>
                <w:lang w:val="en-US" w:eastAsia="zh-CN"/>
              </w:rPr>
              <w:t>叁</w:t>
            </w:r>
            <w:r>
              <w:rPr>
                <w:rFonts w:hint="eastAsia" w:ascii="宋体" w:hAnsi="宋体" w:eastAsia="宋体" w:cs="宋体"/>
                <w:color w:val="auto"/>
                <w:kern w:val="0"/>
                <w:sz w:val="22"/>
                <w:highlight w:val="none"/>
                <w:lang w:eastAsia="zh-CN"/>
              </w:rPr>
              <w:t>份。响应文件封面需注明“正本”“副本”字样，“正本”和“副本”内容应一致，如有差异以正本为准。</w:t>
            </w:r>
          </w:p>
        </w:tc>
      </w:tr>
      <w:tr w14:paraId="07D3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0" w:hRule="atLeast"/>
        </w:trPr>
        <w:tc>
          <w:tcPr>
            <w:tcW w:w="1048" w:type="dxa"/>
            <w:tcBorders>
              <w:top w:val="single" w:color="auto" w:sz="4" w:space="0"/>
              <w:left w:val="single" w:color="auto" w:sz="4" w:space="0"/>
              <w:bottom w:val="single" w:color="auto" w:sz="4" w:space="0"/>
              <w:right w:val="single" w:color="auto" w:sz="4" w:space="0"/>
            </w:tcBorders>
            <w:vAlign w:val="center"/>
          </w:tcPr>
          <w:p w14:paraId="234BB257">
            <w:pPr>
              <w:spacing w:line="30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rPr>
              <w:t>5</w:t>
            </w:r>
          </w:p>
        </w:tc>
        <w:tc>
          <w:tcPr>
            <w:tcW w:w="1687" w:type="dxa"/>
            <w:tcBorders>
              <w:top w:val="single" w:color="auto" w:sz="4" w:space="0"/>
              <w:left w:val="single" w:color="auto" w:sz="4" w:space="0"/>
              <w:bottom w:val="single" w:color="auto" w:sz="4" w:space="0"/>
              <w:right w:val="single" w:color="auto" w:sz="4" w:space="0"/>
            </w:tcBorders>
            <w:vAlign w:val="center"/>
          </w:tcPr>
          <w:p w14:paraId="7F5251D7">
            <w:pPr>
              <w:spacing w:line="400" w:lineRule="exact"/>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响应文件组成</w:t>
            </w:r>
          </w:p>
        </w:tc>
        <w:tc>
          <w:tcPr>
            <w:tcW w:w="7119" w:type="dxa"/>
            <w:tcBorders>
              <w:top w:val="single" w:color="auto" w:sz="4" w:space="0"/>
              <w:left w:val="single" w:color="auto" w:sz="4" w:space="0"/>
              <w:bottom w:val="single" w:color="auto" w:sz="4" w:space="0"/>
              <w:right w:val="single" w:color="auto" w:sz="4" w:space="0"/>
            </w:tcBorders>
            <w:vAlign w:val="center"/>
          </w:tcPr>
          <w:p w14:paraId="1F7F3987">
            <w:pPr>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（1）报价表；</w:t>
            </w:r>
          </w:p>
          <w:p w14:paraId="4D481103">
            <w:pPr>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（2）法定代表人证明书及授权委托书；</w:t>
            </w:r>
          </w:p>
          <w:p w14:paraId="74F27BA2">
            <w:pPr>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3</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营业执照、税务登记证（如为多证合一仅需提供营业执照）；</w:t>
            </w:r>
          </w:p>
          <w:p w14:paraId="2DE50D66">
            <w:pPr>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4</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参与比选活动响应资格声明函；</w:t>
            </w:r>
          </w:p>
          <w:p w14:paraId="6E13D39F">
            <w:pPr>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w:t>
            </w:r>
            <w:r>
              <w:rPr>
                <w:rFonts w:hint="eastAsia" w:ascii="宋体" w:hAnsi="宋体" w:eastAsia="宋体" w:cs="宋体"/>
                <w:color w:val="auto"/>
                <w:kern w:val="0"/>
                <w:sz w:val="22"/>
                <w:highlight w:val="none"/>
                <w:lang w:val="en-US" w:eastAsia="zh-CN"/>
              </w:rPr>
              <w:t>5</w:t>
            </w:r>
            <w:r>
              <w:rPr>
                <w:rFonts w:hint="eastAsia" w:ascii="宋体" w:hAnsi="宋体" w:eastAsia="宋体" w:cs="宋体"/>
                <w:color w:val="auto"/>
                <w:kern w:val="0"/>
                <w:sz w:val="22"/>
                <w:highlight w:val="none"/>
              </w:rPr>
              <w:t>）供应商基本情况说明</w:t>
            </w:r>
          </w:p>
          <w:p w14:paraId="1C50BED5">
            <w:pPr>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6</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投标单位履约及廉洁纪律承诺书。</w:t>
            </w:r>
          </w:p>
        </w:tc>
      </w:tr>
      <w:tr w14:paraId="24B4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1048" w:type="dxa"/>
            <w:tcBorders>
              <w:top w:val="single" w:color="auto" w:sz="4" w:space="0"/>
              <w:left w:val="single" w:color="auto" w:sz="4" w:space="0"/>
              <w:bottom w:val="single" w:color="auto" w:sz="4" w:space="0"/>
              <w:right w:val="single" w:color="auto" w:sz="4" w:space="0"/>
            </w:tcBorders>
            <w:vAlign w:val="center"/>
          </w:tcPr>
          <w:p w14:paraId="63E31516">
            <w:pPr>
              <w:spacing w:line="30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lang w:val="en-US" w:eastAsia="zh-CN"/>
              </w:rPr>
              <w:t>6</w:t>
            </w:r>
          </w:p>
        </w:tc>
        <w:tc>
          <w:tcPr>
            <w:tcW w:w="1687" w:type="dxa"/>
            <w:tcBorders>
              <w:top w:val="single" w:color="auto" w:sz="4" w:space="0"/>
              <w:left w:val="single" w:color="auto" w:sz="4" w:space="0"/>
              <w:bottom w:val="single" w:color="auto" w:sz="4" w:space="0"/>
              <w:right w:val="single" w:color="auto" w:sz="4" w:space="0"/>
            </w:tcBorders>
            <w:vAlign w:val="center"/>
          </w:tcPr>
          <w:p w14:paraId="4ADD744E">
            <w:pPr>
              <w:spacing w:line="400" w:lineRule="exact"/>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签字或盖章要求</w:t>
            </w:r>
          </w:p>
        </w:tc>
        <w:tc>
          <w:tcPr>
            <w:tcW w:w="7119" w:type="dxa"/>
            <w:tcBorders>
              <w:top w:val="single" w:color="auto" w:sz="4" w:space="0"/>
              <w:left w:val="single" w:color="auto" w:sz="4" w:space="0"/>
              <w:bottom w:val="single" w:color="auto" w:sz="4" w:space="0"/>
              <w:right w:val="single" w:color="auto" w:sz="4" w:space="0"/>
            </w:tcBorders>
            <w:vAlign w:val="center"/>
          </w:tcPr>
          <w:p w14:paraId="378C2015">
            <w:pPr>
              <w:spacing w:line="400" w:lineRule="exac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响应文件中相应地方加盖单位公章</w:t>
            </w:r>
            <w:r>
              <w:rPr>
                <w:rFonts w:hint="eastAsia" w:ascii="宋体" w:hAnsi="宋体" w:eastAsia="宋体" w:cs="宋体"/>
                <w:color w:val="auto"/>
                <w:kern w:val="0"/>
                <w:sz w:val="22"/>
                <w:highlight w:val="none"/>
                <w:lang w:val="en-US" w:eastAsia="zh-CN"/>
              </w:rPr>
              <w:t>或</w:t>
            </w:r>
            <w:r>
              <w:rPr>
                <w:rFonts w:hint="eastAsia" w:ascii="宋体" w:hAnsi="宋体" w:eastAsia="宋体" w:cs="宋体"/>
                <w:color w:val="auto"/>
                <w:kern w:val="0"/>
                <w:sz w:val="22"/>
                <w:highlight w:val="none"/>
              </w:rPr>
              <w:t>单位法定代表人签字或盖章，否则，</w:t>
            </w:r>
            <w:r>
              <w:rPr>
                <w:rFonts w:hint="eastAsia" w:ascii="宋体" w:hAnsi="宋体" w:eastAsia="宋体" w:cs="宋体"/>
                <w:color w:val="auto"/>
                <w:kern w:val="0"/>
                <w:sz w:val="22"/>
                <w:highlight w:val="none"/>
                <w:lang w:val="en-US" w:eastAsia="zh-CN"/>
              </w:rPr>
              <w:t>采购人</w:t>
            </w:r>
            <w:r>
              <w:rPr>
                <w:rFonts w:hint="eastAsia" w:ascii="宋体" w:hAnsi="宋体" w:eastAsia="宋体" w:cs="宋体"/>
                <w:color w:val="auto"/>
                <w:kern w:val="0"/>
                <w:sz w:val="22"/>
                <w:highlight w:val="none"/>
              </w:rPr>
              <w:t>应当否决其投标。</w:t>
            </w:r>
          </w:p>
        </w:tc>
      </w:tr>
      <w:tr w14:paraId="343E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48" w:type="dxa"/>
            <w:tcBorders>
              <w:top w:val="single" w:color="auto" w:sz="4" w:space="0"/>
              <w:left w:val="single" w:color="auto" w:sz="4" w:space="0"/>
              <w:bottom w:val="single" w:color="auto" w:sz="4" w:space="0"/>
              <w:right w:val="single" w:color="auto" w:sz="4" w:space="0"/>
            </w:tcBorders>
            <w:vAlign w:val="center"/>
          </w:tcPr>
          <w:p w14:paraId="27F94F1C">
            <w:pPr>
              <w:spacing w:line="30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lang w:val="en-US" w:eastAsia="zh-CN"/>
              </w:rPr>
              <w:t>7</w:t>
            </w:r>
          </w:p>
        </w:tc>
        <w:tc>
          <w:tcPr>
            <w:tcW w:w="1687" w:type="dxa"/>
            <w:tcBorders>
              <w:top w:val="single" w:color="auto" w:sz="4" w:space="0"/>
              <w:left w:val="single" w:color="auto" w:sz="4" w:space="0"/>
              <w:bottom w:val="single" w:color="auto" w:sz="4" w:space="0"/>
              <w:right w:val="single" w:color="auto" w:sz="4" w:space="0"/>
            </w:tcBorders>
            <w:vAlign w:val="center"/>
          </w:tcPr>
          <w:p w14:paraId="339C1FFA">
            <w:pPr>
              <w:spacing w:line="400" w:lineRule="exact"/>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装订、密封要求</w:t>
            </w:r>
          </w:p>
        </w:tc>
        <w:tc>
          <w:tcPr>
            <w:tcW w:w="7119" w:type="dxa"/>
            <w:tcBorders>
              <w:top w:val="single" w:color="auto" w:sz="4" w:space="0"/>
              <w:left w:val="single" w:color="auto" w:sz="4" w:space="0"/>
              <w:bottom w:val="single" w:color="auto" w:sz="4" w:space="0"/>
              <w:right w:val="single" w:color="auto" w:sz="4" w:space="0"/>
            </w:tcBorders>
            <w:vAlign w:val="center"/>
          </w:tcPr>
          <w:p w14:paraId="424C4C83">
            <w:pPr>
              <w:spacing w:line="400" w:lineRule="exac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分册装订装入密封袋中，密封袋自行制作提供。</w:t>
            </w:r>
          </w:p>
        </w:tc>
      </w:tr>
      <w:tr w14:paraId="71B6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48" w:type="dxa"/>
            <w:tcBorders>
              <w:top w:val="single" w:color="auto" w:sz="4" w:space="0"/>
              <w:left w:val="single" w:color="auto" w:sz="4" w:space="0"/>
              <w:bottom w:val="single" w:color="auto" w:sz="4" w:space="0"/>
              <w:right w:val="single" w:color="auto" w:sz="4" w:space="0"/>
            </w:tcBorders>
            <w:vAlign w:val="center"/>
          </w:tcPr>
          <w:p w14:paraId="4D0753C2">
            <w:pPr>
              <w:spacing w:line="30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lang w:val="en-US" w:eastAsia="zh-CN"/>
              </w:rPr>
              <w:t>8</w:t>
            </w:r>
          </w:p>
        </w:tc>
        <w:tc>
          <w:tcPr>
            <w:tcW w:w="1687" w:type="dxa"/>
            <w:tcBorders>
              <w:top w:val="single" w:color="auto" w:sz="4" w:space="0"/>
              <w:left w:val="single" w:color="auto" w:sz="4" w:space="0"/>
              <w:bottom w:val="single" w:color="auto" w:sz="4" w:space="0"/>
              <w:right w:val="single" w:color="auto" w:sz="4" w:space="0"/>
            </w:tcBorders>
            <w:vAlign w:val="center"/>
          </w:tcPr>
          <w:p w14:paraId="104A439F">
            <w:pPr>
              <w:spacing w:line="400" w:lineRule="exact"/>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响应文件递交截止时间、地点</w:t>
            </w:r>
          </w:p>
        </w:tc>
        <w:tc>
          <w:tcPr>
            <w:tcW w:w="7119" w:type="dxa"/>
            <w:tcBorders>
              <w:top w:val="single" w:color="auto" w:sz="4" w:space="0"/>
              <w:left w:val="single" w:color="auto" w:sz="4" w:space="0"/>
              <w:bottom w:val="single" w:color="auto" w:sz="4" w:space="0"/>
              <w:right w:val="single" w:color="auto" w:sz="4" w:space="0"/>
            </w:tcBorders>
            <w:vAlign w:val="center"/>
          </w:tcPr>
          <w:p w14:paraId="06615F1B">
            <w:pPr>
              <w:spacing w:line="400" w:lineRule="exac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见比选公告</w:t>
            </w:r>
          </w:p>
        </w:tc>
      </w:tr>
      <w:tr w14:paraId="31FD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048" w:type="dxa"/>
            <w:tcBorders>
              <w:top w:val="single" w:color="auto" w:sz="4" w:space="0"/>
              <w:left w:val="single" w:color="auto" w:sz="4" w:space="0"/>
              <w:bottom w:val="single" w:color="auto" w:sz="4" w:space="0"/>
              <w:right w:val="single" w:color="auto" w:sz="4" w:space="0"/>
            </w:tcBorders>
            <w:vAlign w:val="center"/>
          </w:tcPr>
          <w:p w14:paraId="4C71065F">
            <w:pPr>
              <w:spacing w:line="30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lang w:val="en-US" w:eastAsia="zh-CN"/>
              </w:rPr>
              <w:t>9</w:t>
            </w:r>
          </w:p>
        </w:tc>
        <w:tc>
          <w:tcPr>
            <w:tcW w:w="1687" w:type="dxa"/>
            <w:tcBorders>
              <w:top w:val="single" w:color="auto" w:sz="4" w:space="0"/>
              <w:left w:val="single" w:color="auto" w:sz="4" w:space="0"/>
              <w:bottom w:val="single" w:color="auto" w:sz="4" w:space="0"/>
              <w:right w:val="single" w:color="auto" w:sz="4" w:space="0"/>
            </w:tcBorders>
            <w:vAlign w:val="center"/>
          </w:tcPr>
          <w:p w14:paraId="1CB30505">
            <w:pPr>
              <w:spacing w:line="400" w:lineRule="exact"/>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投标截止时间</w:t>
            </w:r>
          </w:p>
        </w:tc>
        <w:tc>
          <w:tcPr>
            <w:tcW w:w="7119" w:type="dxa"/>
            <w:tcBorders>
              <w:top w:val="single" w:color="auto" w:sz="4" w:space="0"/>
              <w:left w:val="single" w:color="auto" w:sz="4" w:space="0"/>
              <w:bottom w:val="single" w:color="auto" w:sz="4" w:space="0"/>
              <w:right w:val="single" w:color="auto" w:sz="4" w:space="0"/>
            </w:tcBorders>
            <w:vAlign w:val="center"/>
          </w:tcPr>
          <w:p w14:paraId="06E400D6">
            <w:pPr>
              <w:spacing w:line="400" w:lineRule="exac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见比选公告</w:t>
            </w:r>
          </w:p>
        </w:tc>
      </w:tr>
      <w:tr w14:paraId="4EC2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48" w:type="dxa"/>
            <w:tcBorders>
              <w:top w:val="single" w:color="auto" w:sz="4" w:space="0"/>
              <w:left w:val="single" w:color="auto" w:sz="4" w:space="0"/>
              <w:bottom w:val="single" w:color="auto" w:sz="4" w:space="0"/>
              <w:right w:val="single" w:color="auto" w:sz="4" w:space="0"/>
            </w:tcBorders>
            <w:vAlign w:val="center"/>
          </w:tcPr>
          <w:p w14:paraId="3B311AF2">
            <w:pPr>
              <w:spacing w:line="300" w:lineRule="exact"/>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10</w:t>
            </w:r>
          </w:p>
        </w:tc>
        <w:tc>
          <w:tcPr>
            <w:tcW w:w="1687" w:type="dxa"/>
            <w:tcBorders>
              <w:top w:val="single" w:color="auto" w:sz="4" w:space="0"/>
              <w:left w:val="single" w:color="auto" w:sz="4" w:space="0"/>
              <w:bottom w:val="single" w:color="auto" w:sz="4" w:space="0"/>
              <w:right w:val="single" w:color="auto" w:sz="4" w:space="0"/>
            </w:tcBorders>
            <w:vAlign w:val="center"/>
          </w:tcPr>
          <w:p w14:paraId="332D17CD">
            <w:pPr>
              <w:spacing w:line="40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开标程序</w:t>
            </w:r>
          </w:p>
        </w:tc>
        <w:tc>
          <w:tcPr>
            <w:tcW w:w="7119" w:type="dxa"/>
            <w:tcBorders>
              <w:top w:val="single" w:color="auto" w:sz="4" w:space="0"/>
              <w:left w:val="single" w:color="auto" w:sz="4" w:space="0"/>
              <w:bottom w:val="single" w:color="auto" w:sz="4" w:space="0"/>
              <w:right w:val="single" w:color="auto" w:sz="4" w:space="0"/>
            </w:tcBorders>
            <w:vAlign w:val="center"/>
          </w:tcPr>
          <w:p w14:paraId="3ECE8DE9">
            <w:pPr>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开标顺序：投标时间截止后在开标室开启所有</w:t>
            </w:r>
            <w:r>
              <w:rPr>
                <w:rFonts w:hint="eastAsia" w:ascii="宋体" w:hAnsi="宋体" w:eastAsia="宋体" w:cs="宋体"/>
                <w:color w:val="auto"/>
                <w:kern w:val="0"/>
                <w:sz w:val="22"/>
                <w:highlight w:val="none"/>
                <w:lang w:val="en-US" w:eastAsia="zh-CN"/>
              </w:rPr>
              <w:t>响应</w:t>
            </w:r>
            <w:r>
              <w:rPr>
                <w:rFonts w:hint="eastAsia" w:ascii="宋体" w:hAnsi="宋体" w:eastAsia="宋体" w:cs="宋体"/>
                <w:color w:val="auto"/>
                <w:kern w:val="0"/>
                <w:sz w:val="22"/>
                <w:highlight w:val="none"/>
              </w:rPr>
              <w:t>文件。</w:t>
            </w:r>
          </w:p>
        </w:tc>
      </w:tr>
      <w:tr w14:paraId="5EE7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048" w:type="dxa"/>
            <w:tcBorders>
              <w:top w:val="single" w:color="auto" w:sz="4" w:space="0"/>
              <w:left w:val="single" w:color="auto" w:sz="4" w:space="0"/>
              <w:bottom w:val="single" w:color="auto" w:sz="4" w:space="0"/>
              <w:right w:val="single" w:color="auto" w:sz="4" w:space="0"/>
            </w:tcBorders>
            <w:vAlign w:val="center"/>
          </w:tcPr>
          <w:p w14:paraId="28F24852">
            <w:pPr>
              <w:spacing w:line="300" w:lineRule="exact"/>
              <w:jc w:val="center"/>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lang w:val="en-US" w:eastAsia="zh-CN"/>
              </w:rPr>
              <w:t>11</w:t>
            </w:r>
          </w:p>
        </w:tc>
        <w:tc>
          <w:tcPr>
            <w:tcW w:w="1687" w:type="dxa"/>
            <w:tcBorders>
              <w:top w:val="single" w:color="auto" w:sz="4" w:space="0"/>
              <w:left w:val="single" w:color="auto" w:sz="4" w:space="0"/>
              <w:bottom w:val="single" w:color="auto" w:sz="4" w:space="0"/>
              <w:right w:val="single" w:color="auto" w:sz="4" w:space="0"/>
            </w:tcBorders>
            <w:vAlign w:val="center"/>
          </w:tcPr>
          <w:p w14:paraId="3D53DAE1">
            <w:pPr>
              <w:spacing w:line="400" w:lineRule="exact"/>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比选原则</w:t>
            </w:r>
          </w:p>
        </w:tc>
        <w:tc>
          <w:tcPr>
            <w:tcW w:w="7119" w:type="dxa"/>
            <w:tcBorders>
              <w:top w:val="single" w:color="auto" w:sz="4" w:space="0"/>
              <w:left w:val="single" w:color="auto" w:sz="4" w:space="0"/>
              <w:bottom w:val="single" w:color="auto" w:sz="4" w:space="0"/>
              <w:right w:val="single" w:color="auto" w:sz="4" w:space="0"/>
            </w:tcBorders>
            <w:vAlign w:val="center"/>
          </w:tcPr>
          <w:p w14:paraId="36735EC5">
            <w:pPr>
              <w:spacing w:line="400" w:lineRule="exac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见比选公告</w:t>
            </w:r>
          </w:p>
        </w:tc>
      </w:tr>
      <w:tr w14:paraId="384B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48" w:type="dxa"/>
            <w:tcBorders>
              <w:top w:val="single" w:color="auto" w:sz="4" w:space="0"/>
              <w:left w:val="single" w:color="auto" w:sz="4" w:space="0"/>
              <w:bottom w:val="single" w:color="auto" w:sz="4" w:space="0"/>
              <w:right w:val="single" w:color="auto" w:sz="4" w:space="0"/>
            </w:tcBorders>
            <w:vAlign w:val="center"/>
          </w:tcPr>
          <w:p w14:paraId="23033E8B">
            <w:pPr>
              <w:spacing w:line="300" w:lineRule="exact"/>
              <w:jc w:val="center"/>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lang w:val="en-US" w:eastAsia="zh-CN"/>
              </w:rPr>
              <w:t>12</w:t>
            </w:r>
          </w:p>
        </w:tc>
        <w:tc>
          <w:tcPr>
            <w:tcW w:w="1687" w:type="dxa"/>
            <w:tcBorders>
              <w:top w:val="single" w:color="auto" w:sz="4" w:space="0"/>
              <w:left w:val="single" w:color="auto" w:sz="4" w:space="0"/>
              <w:bottom w:val="single" w:color="auto" w:sz="4" w:space="0"/>
              <w:right w:val="single" w:color="auto" w:sz="4" w:space="0"/>
            </w:tcBorders>
            <w:vAlign w:val="center"/>
          </w:tcPr>
          <w:p w14:paraId="5E7D19E2">
            <w:pPr>
              <w:spacing w:line="40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采购人要求</w:t>
            </w:r>
          </w:p>
        </w:tc>
        <w:tc>
          <w:tcPr>
            <w:tcW w:w="7119" w:type="dxa"/>
            <w:tcBorders>
              <w:top w:val="single" w:color="auto" w:sz="4" w:space="0"/>
              <w:left w:val="single" w:color="auto" w:sz="4" w:space="0"/>
              <w:bottom w:val="single" w:color="auto" w:sz="4" w:space="0"/>
              <w:right w:val="single" w:color="auto" w:sz="4" w:space="0"/>
            </w:tcBorders>
            <w:vAlign w:val="center"/>
          </w:tcPr>
          <w:p w14:paraId="3CB46E1F">
            <w:pPr>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具体详见第</w:t>
            </w:r>
            <w:r>
              <w:rPr>
                <w:rFonts w:hint="eastAsia" w:ascii="宋体" w:hAnsi="宋体" w:eastAsia="宋体" w:cs="宋体"/>
                <w:color w:val="auto"/>
                <w:kern w:val="0"/>
                <w:sz w:val="22"/>
                <w:highlight w:val="none"/>
                <w:lang w:val="en-US" w:eastAsia="zh-CN"/>
              </w:rPr>
              <w:t>四</w:t>
            </w:r>
            <w:r>
              <w:rPr>
                <w:rFonts w:hint="eastAsia" w:ascii="宋体" w:hAnsi="宋体" w:eastAsia="宋体" w:cs="宋体"/>
                <w:color w:val="auto"/>
                <w:kern w:val="0"/>
                <w:sz w:val="22"/>
                <w:highlight w:val="none"/>
              </w:rPr>
              <w:t>章</w:t>
            </w:r>
          </w:p>
        </w:tc>
      </w:tr>
      <w:tr w14:paraId="15C8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48" w:type="dxa"/>
            <w:tcBorders>
              <w:top w:val="single" w:color="auto" w:sz="4" w:space="0"/>
              <w:left w:val="single" w:color="auto" w:sz="4" w:space="0"/>
              <w:bottom w:val="single" w:color="auto" w:sz="4" w:space="0"/>
              <w:right w:val="single" w:color="auto" w:sz="4" w:space="0"/>
            </w:tcBorders>
            <w:vAlign w:val="center"/>
          </w:tcPr>
          <w:p w14:paraId="72EB20A4">
            <w:pPr>
              <w:spacing w:line="300" w:lineRule="exact"/>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13</w:t>
            </w:r>
          </w:p>
        </w:tc>
        <w:tc>
          <w:tcPr>
            <w:tcW w:w="1687" w:type="dxa"/>
            <w:tcBorders>
              <w:top w:val="single" w:color="auto" w:sz="4" w:space="0"/>
              <w:left w:val="single" w:color="auto" w:sz="4" w:space="0"/>
              <w:bottom w:val="single" w:color="auto" w:sz="4" w:space="0"/>
              <w:right w:val="single" w:color="auto" w:sz="4" w:space="0"/>
            </w:tcBorders>
            <w:vAlign w:val="center"/>
          </w:tcPr>
          <w:p w14:paraId="19E8C6DB">
            <w:pPr>
              <w:spacing w:line="400" w:lineRule="exact"/>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合同结算形式</w:t>
            </w:r>
          </w:p>
        </w:tc>
        <w:tc>
          <w:tcPr>
            <w:tcW w:w="7119" w:type="dxa"/>
            <w:tcBorders>
              <w:top w:val="single" w:color="auto" w:sz="4" w:space="0"/>
              <w:left w:val="single" w:color="auto" w:sz="4" w:space="0"/>
              <w:bottom w:val="single" w:color="auto" w:sz="4" w:space="0"/>
              <w:right w:val="single" w:color="auto" w:sz="4" w:space="0"/>
            </w:tcBorders>
            <w:vAlign w:val="center"/>
          </w:tcPr>
          <w:p w14:paraId="7FA7C189">
            <w:pPr>
              <w:spacing w:line="400" w:lineRule="exac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本项目采取固定合同单价的形式进行结算，具体详见“第</w:t>
            </w:r>
            <w:r>
              <w:rPr>
                <w:rFonts w:hint="eastAsia" w:ascii="宋体" w:hAnsi="宋体" w:eastAsia="宋体" w:cs="宋体"/>
                <w:color w:val="auto"/>
                <w:kern w:val="0"/>
                <w:sz w:val="22"/>
                <w:highlight w:val="none"/>
                <w:lang w:val="en-US" w:eastAsia="zh-CN"/>
              </w:rPr>
              <w:t>三</w:t>
            </w:r>
            <w:r>
              <w:rPr>
                <w:rFonts w:hint="eastAsia" w:ascii="宋体" w:hAnsi="宋体" w:eastAsia="宋体" w:cs="宋体"/>
                <w:color w:val="auto"/>
                <w:kern w:val="0"/>
                <w:sz w:val="22"/>
                <w:highlight w:val="none"/>
              </w:rPr>
              <w:t>章 合同格式”，且最终结算金额</w:t>
            </w:r>
            <w:r>
              <w:rPr>
                <w:rFonts w:hint="eastAsia" w:ascii="宋体" w:hAnsi="宋体" w:cs="宋体"/>
                <w:color w:val="auto"/>
                <w:kern w:val="0"/>
                <w:sz w:val="22"/>
                <w:highlight w:val="none"/>
                <w:lang w:val="en-US" w:eastAsia="zh-CN"/>
              </w:rPr>
              <w:t>控制在</w:t>
            </w:r>
            <w:r>
              <w:rPr>
                <w:rFonts w:hint="eastAsia"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lang w:val="en-US" w:eastAsia="zh-CN"/>
              </w:rPr>
              <w:t>100</w:t>
            </w:r>
            <w:r>
              <w:rPr>
                <w:rFonts w:hint="eastAsia" w:ascii="宋体" w:hAnsi="宋体" w:eastAsia="宋体" w:cs="宋体"/>
                <w:color w:val="auto"/>
                <w:kern w:val="0"/>
                <w:sz w:val="22"/>
                <w:highlight w:val="none"/>
              </w:rPr>
              <w:t xml:space="preserve"> 万元</w:t>
            </w:r>
            <w:r>
              <w:rPr>
                <w:rFonts w:hint="eastAsia" w:ascii="宋体" w:hAnsi="宋体" w:cs="宋体"/>
                <w:color w:val="auto"/>
                <w:kern w:val="0"/>
                <w:sz w:val="22"/>
                <w:highlight w:val="none"/>
                <w:lang w:val="en-US" w:eastAsia="zh-CN"/>
              </w:rPr>
              <w:t>以内</w:t>
            </w:r>
            <w:r>
              <w:rPr>
                <w:rFonts w:hint="eastAsia" w:ascii="宋体" w:hAnsi="宋体" w:eastAsia="宋体" w:cs="宋体"/>
                <w:color w:val="auto"/>
                <w:kern w:val="0"/>
                <w:sz w:val="22"/>
                <w:highlight w:val="none"/>
                <w:lang w:eastAsia="zh-CN"/>
              </w:rPr>
              <w:t>。</w:t>
            </w:r>
          </w:p>
        </w:tc>
      </w:tr>
      <w:tr w14:paraId="1A0B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8" w:type="dxa"/>
            <w:vMerge w:val="restart"/>
            <w:tcBorders>
              <w:top w:val="single" w:color="auto" w:sz="4" w:space="0"/>
              <w:left w:val="single" w:color="auto" w:sz="4" w:space="0"/>
              <w:right w:val="single" w:color="auto" w:sz="4" w:space="0"/>
            </w:tcBorders>
            <w:vAlign w:val="center"/>
          </w:tcPr>
          <w:p w14:paraId="54C83C38">
            <w:pPr>
              <w:spacing w:line="300" w:lineRule="exact"/>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14</w:t>
            </w:r>
          </w:p>
        </w:tc>
        <w:tc>
          <w:tcPr>
            <w:tcW w:w="1687" w:type="dxa"/>
            <w:vMerge w:val="restart"/>
            <w:tcBorders>
              <w:top w:val="single" w:color="auto" w:sz="4" w:space="0"/>
              <w:left w:val="single" w:color="auto" w:sz="4" w:space="0"/>
              <w:right w:val="single" w:color="auto" w:sz="4" w:space="0"/>
            </w:tcBorders>
            <w:vAlign w:val="center"/>
          </w:tcPr>
          <w:p w14:paraId="6BF7E43C">
            <w:pPr>
              <w:spacing w:line="400" w:lineRule="exact"/>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注意事项</w:t>
            </w:r>
          </w:p>
        </w:tc>
        <w:tc>
          <w:tcPr>
            <w:tcW w:w="7119" w:type="dxa"/>
            <w:tcBorders>
              <w:top w:val="single" w:color="auto" w:sz="4" w:space="0"/>
              <w:left w:val="single" w:color="auto" w:sz="4" w:space="0"/>
              <w:bottom w:val="single" w:color="auto" w:sz="4" w:space="0"/>
              <w:right w:val="single" w:color="auto" w:sz="4" w:space="0"/>
            </w:tcBorders>
            <w:vAlign w:val="center"/>
          </w:tcPr>
          <w:p w14:paraId="70F6FA36">
            <w:pPr>
              <w:spacing w:line="400" w:lineRule="exac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1.</w:t>
            </w:r>
            <w:r>
              <w:rPr>
                <w:rFonts w:hint="eastAsia" w:ascii="宋体" w:hAnsi="宋体" w:eastAsia="宋体" w:cs="宋体"/>
                <w:color w:val="auto"/>
                <w:kern w:val="0"/>
                <w:sz w:val="22"/>
                <w:highlight w:val="none"/>
              </w:rPr>
              <w:t>投标单位应在投标截止时间前到场递交响应文件，由法定代表人递交响应文件的应携带法定代表人证明书，由其委托代理人递交响应文件的应携带授权委托书，且投标人的法定代表人或其委托代理人应携带本人身份证，以证明其身份</w:t>
            </w:r>
            <w:r>
              <w:rPr>
                <w:rFonts w:hint="eastAsia" w:ascii="宋体" w:hAnsi="宋体" w:cs="宋体"/>
                <w:color w:val="auto"/>
                <w:kern w:val="0"/>
                <w:sz w:val="22"/>
                <w:highlight w:val="none"/>
                <w:lang w:eastAsia="zh-CN"/>
              </w:rPr>
              <w:t>，投标人法定代表人委托代理人须为本单位人员，并提供社保缴纳等证明材料，</w:t>
            </w:r>
            <w:r>
              <w:rPr>
                <w:rFonts w:hint="eastAsia" w:ascii="宋体" w:hAnsi="宋体" w:eastAsia="宋体" w:cs="宋体"/>
                <w:color w:val="auto"/>
                <w:kern w:val="0"/>
                <w:sz w:val="22"/>
                <w:highlight w:val="none"/>
              </w:rPr>
              <w:t>未按上述要求提供者视为无效投标。（格式详见附件）。</w:t>
            </w:r>
          </w:p>
        </w:tc>
      </w:tr>
      <w:tr w14:paraId="495B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48" w:type="dxa"/>
            <w:vMerge w:val="continue"/>
            <w:tcBorders>
              <w:left w:val="single" w:color="auto" w:sz="4" w:space="0"/>
              <w:bottom w:val="single" w:color="auto" w:sz="4" w:space="0"/>
              <w:right w:val="single" w:color="auto" w:sz="4" w:space="0"/>
            </w:tcBorders>
            <w:vAlign w:val="center"/>
          </w:tcPr>
          <w:p w14:paraId="1AD6A0F1">
            <w:pPr>
              <w:spacing w:line="300" w:lineRule="exact"/>
              <w:jc w:val="center"/>
              <w:rPr>
                <w:rFonts w:hint="eastAsia" w:ascii="宋体" w:hAnsi="宋体" w:eastAsia="宋体" w:cs="宋体"/>
                <w:color w:val="auto"/>
                <w:kern w:val="0"/>
                <w:sz w:val="22"/>
                <w:highlight w:val="none"/>
                <w:lang w:val="en-US" w:eastAsia="zh-CN"/>
              </w:rPr>
            </w:pPr>
            <w:bookmarkStart w:id="16" w:name="_Toc221356882"/>
            <w:bookmarkStart w:id="17" w:name="_Toc221423615"/>
            <w:bookmarkStart w:id="18" w:name="_Toc239145350"/>
            <w:bookmarkStart w:id="19" w:name="_Toc221374622"/>
            <w:bookmarkStart w:id="20" w:name="_Toc221356947"/>
            <w:bookmarkStart w:id="21" w:name="_Toc252194848"/>
            <w:bookmarkStart w:id="22" w:name="_Toc251592733"/>
            <w:bookmarkStart w:id="23" w:name="_Toc223715994"/>
            <w:bookmarkStart w:id="24" w:name="_Toc241404198"/>
            <w:bookmarkStart w:id="25" w:name="_Toc246261261"/>
            <w:bookmarkStart w:id="26" w:name="_Toc245191310"/>
            <w:bookmarkStart w:id="27" w:name="_Toc222114875"/>
            <w:bookmarkStart w:id="28" w:name="_Toc251325210"/>
            <w:bookmarkStart w:id="29" w:name="_Toc245722277"/>
          </w:p>
        </w:tc>
        <w:tc>
          <w:tcPr>
            <w:tcW w:w="1687" w:type="dxa"/>
            <w:vMerge w:val="continue"/>
            <w:tcBorders>
              <w:left w:val="single" w:color="auto" w:sz="4" w:space="0"/>
              <w:bottom w:val="single" w:color="auto" w:sz="4" w:space="0"/>
              <w:right w:val="single" w:color="auto" w:sz="4" w:space="0"/>
            </w:tcBorders>
            <w:vAlign w:val="center"/>
          </w:tcPr>
          <w:p w14:paraId="59A67344">
            <w:pPr>
              <w:spacing w:line="400" w:lineRule="exact"/>
              <w:jc w:val="center"/>
              <w:rPr>
                <w:rFonts w:hint="eastAsia" w:ascii="宋体" w:hAnsi="宋体" w:eastAsia="宋体" w:cs="宋体"/>
                <w:color w:val="auto"/>
                <w:kern w:val="0"/>
                <w:sz w:val="22"/>
                <w:highlight w:val="none"/>
              </w:rPr>
            </w:pPr>
          </w:p>
        </w:tc>
        <w:tc>
          <w:tcPr>
            <w:tcW w:w="7119" w:type="dxa"/>
            <w:tcBorders>
              <w:top w:val="single" w:color="auto" w:sz="4" w:space="0"/>
              <w:left w:val="single" w:color="auto" w:sz="4" w:space="0"/>
              <w:bottom w:val="single" w:color="auto" w:sz="4" w:space="0"/>
              <w:right w:val="single" w:color="auto" w:sz="4" w:space="0"/>
            </w:tcBorders>
            <w:vAlign w:val="center"/>
          </w:tcPr>
          <w:p w14:paraId="3AC770AD">
            <w:pPr>
              <w:spacing w:line="400" w:lineRule="exac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rPr>
              <w:t>.本次比选代理服务费按固定金额人民币 10000 元整计取；投标人需将上述费用综合考虑在投标报价中，由中标人在领取中标通知书之前支付给本项目的</w:t>
            </w:r>
            <w:r>
              <w:rPr>
                <w:rFonts w:hint="eastAsia" w:ascii="宋体" w:hAnsi="宋体" w:eastAsia="宋体" w:cs="宋体"/>
                <w:color w:val="auto"/>
                <w:kern w:val="0"/>
                <w:sz w:val="22"/>
                <w:highlight w:val="none"/>
                <w:lang w:val="en-US" w:eastAsia="zh-CN"/>
              </w:rPr>
              <w:t>采购</w:t>
            </w:r>
            <w:r>
              <w:rPr>
                <w:rFonts w:hint="eastAsia" w:ascii="宋体" w:hAnsi="宋体" w:eastAsia="宋体" w:cs="宋体"/>
                <w:color w:val="auto"/>
                <w:kern w:val="0"/>
                <w:sz w:val="22"/>
                <w:highlight w:val="none"/>
              </w:rPr>
              <w:t>代理机构。</w:t>
            </w:r>
            <w:bookmarkEnd w:id="16"/>
            <w:bookmarkEnd w:id="17"/>
            <w:bookmarkEnd w:id="18"/>
            <w:bookmarkEnd w:id="19"/>
            <w:bookmarkEnd w:id="20"/>
            <w:bookmarkEnd w:id="21"/>
            <w:bookmarkEnd w:id="22"/>
            <w:bookmarkEnd w:id="23"/>
            <w:bookmarkEnd w:id="24"/>
            <w:bookmarkEnd w:id="25"/>
            <w:bookmarkEnd w:id="26"/>
            <w:bookmarkEnd w:id="27"/>
            <w:bookmarkEnd w:id="28"/>
            <w:bookmarkEnd w:id="29"/>
          </w:p>
        </w:tc>
      </w:tr>
    </w:tbl>
    <w:p w14:paraId="6A5123EF">
      <w:pPr>
        <w:pStyle w:val="18"/>
        <w:numPr>
          <w:ilvl w:val="0"/>
          <w:numId w:val="0"/>
        </w:numPr>
        <w:ind w:firstLine="428" w:firstLineChars="204"/>
        <w:rPr>
          <w:color w:val="auto"/>
          <w:highlight w:val="none"/>
        </w:rPr>
        <w:sectPr>
          <w:footerReference r:id="rId7" w:type="first"/>
          <w:footerReference r:id="rId6" w:type="default"/>
          <w:pgSz w:w="11906" w:h="16838"/>
          <w:pgMar w:top="1420" w:right="1134" w:bottom="1134" w:left="1134" w:header="851" w:footer="851" w:gutter="0"/>
          <w:pgNumType w:fmt="decimal" w:start="1"/>
          <w:cols w:space="720" w:num="1"/>
          <w:docGrid w:linePitch="316" w:charSpace="855"/>
        </w:sectPr>
      </w:pPr>
      <w:bookmarkStart w:id="30" w:name="_Toc223716001"/>
      <w:bookmarkStart w:id="31" w:name="_Toc221423622"/>
      <w:bookmarkStart w:id="32" w:name="_Toc245722284"/>
      <w:bookmarkStart w:id="33" w:name="_Toc221356890"/>
      <w:bookmarkStart w:id="34" w:name="_Toc241404205"/>
      <w:bookmarkStart w:id="35" w:name="_Toc251592740"/>
      <w:bookmarkStart w:id="36" w:name="_Toc245191317"/>
      <w:bookmarkStart w:id="37" w:name="_Toc251325217"/>
      <w:bookmarkStart w:id="38" w:name="_Toc239145357"/>
      <w:bookmarkStart w:id="39" w:name="_Toc252194855"/>
      <w:bookmarkStart w:id="40" w:name="_Toc221356954"/>
      <w:bookmarkStart w:id="41" w:name="_Toc221374629"/>
      <w:bookmarkStart w:id="42" w:name="_Toc222114882"/>
      <w:bookmarkStart w:id="43" w:name="_Toc246261268"/>
    </w:p>
    <w:p w14:paraId="49DAE211">
      <w:pPr>
        <w:keepNext/>
        <w:overflowPunct w:val="0"/>
        <w:spacing w:afterLines="100"/>
        <w:jc w:val="center"/>
        <w:outlineLvl w:val="0"/>
        <w:rPr>
          <w:rFonts w:ascii="宋体" w:hAnsi="宋体" w:eastAsia="宋体" w:cs="宋体"/>
          <w:b/>
          <w:bCs/>
          <w:color w:val="auto"/>
          <w:kern w:val="0"/>
          <w:sz w:val="36"/>
          <w:szCs w:val="36"/>
          <w:highlight w:val="none"/>
          <w:lang w:val="zh-CN"/>
        </w:rPr>
      </w:pPr>
      <w:bookmarkStart w:id="44" w:name="_Toc26360"/>
      <w:bookmarkStart w:id="45" w:name="_Toc522645678"/>
      <w:r>
        <w:rPr>
          <w:rFonts w:hint="eastAsia" w:ascii="宋体" w:hAnsi="宋体" w:eastAsia="宋体" w:cs="宋体"/>
          <w:b/>
          <w:bCs/>
          <w:color w:val="auto"/>
          <w:kern w:val="0"/>
          <w:sz w:val="36"/>
          <w:szCs w:val="36"/>
          <w:highlight w:val="none"/>
          <w:lang w:val="zh-CN"/>
        </w:rPr>
        <w:t>第</w:t>
      </w:r>
      <w:r>
        <w:rPr>
          <w:rFonts w:hint="eastAsia" w:ascii="宋体" w:hAnsi="宋体" w:eastAsia="宋体" w:cs="宋体"/>
          <w:b/>
          <w:bCs/>
          <w:color w:val="auto"/>
          <w:kern w:val="0"/>
          <w:sz w:val="36"/>
          <w:szCs w:val="36"/>
          <w:highlight w:val="none"/>
          <w:lang w:val="en-US" w:eastAsia="zh-CN"/>
        </w:rPr>
        <w:t>三章</w:t>
      </w:r>
      <w:r>
        <w:rPr>
          <w:rFonts w:hint="eastAsia" w:ascii="宋体" w:hAnsi="宋体" w:eastAsia="宋体" w:cs="宋体"/>
          <w:b/>
          <w:bCs/>
          <w:color w:val="auto"/>
          <w:kern w:val="0"/>
          <w:sz w:val="36"/>
          <w:szCs w:val="36"/>
          <w:highlight w:val="none"/>
          <w:lang w:val="zh-CN"/>
        </w:rPr>
        <w:t xml:space="preserve">  合同格式</w:t>
      </w:r>
      <w:bookmarkEnd w:id="44"/>
      <w:bookmarkEnd w:id="45"/>
      <w:r>
        <w:rPr>
          <w:rFonts w:hint="eastAsia" w:ascii="宋体" w:hAnsi="宋体" w:eastAsia="宋体" w:cs="宋体"/>
          <w:b/>
          <w:bCs/>
          <w:color w:val="auto"/>
          <w:kern w:val="0"/>
          <w:sz w:val="36"/>
          <w:szCs w:val="36"/>
          <w:highlight w:val="none"/>
          <w:lang w:val="zh-CN"/>
        </w:rPr>
        <w:t>（</w:t>
      </w:r>
      <w:r>
        <w:rPr>
          <w:rFonts w:hint="eastAsia" w:ascii="宋体" w:hAnsi="宋体" w:eastAsia="宋体" w:cs="宋体"/>
          <w:b/>
          <w:bCs/>
          <w:color w:val="auto"/>
          <w:kern w:val="0"/>
          <w:sz w:val="36"/>
          <w:szCs w:val="36"/>
          <w:highlight w:val="none"/>
          <w:lang w:val="en-US" w:eastAsia="zh-CN"/>
        </w:rPr>
        <w:t>参考格式</w:t>
      </w:r>
      <w:r>
        <w:rPr>
          <w:rFonts w:hint="eastAsia" w:ascii="宋体" w:hAnsi="宋体" w:eastAsia="宋体" w:cs="宋体"/>
          <w:b/>
          <w:bCs/>
          <w:color w:val="auto"/>
          <w:kern w:val="0"/>
          <w:sz w:val="36"/>
          <w:szCs w:val="36"/>
          <w:highlight w:val="none"/>
          <w:lang w:val="zh-CN"/>
        </w:rPr>
        <w:t>）</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9F149FF">
      <w:pPr>
        <w:pStyle w:val="2"/>
        <w:spacing w:afterLines="100"/>
        <w:jc w:val="both"/>
        <w:rPr>
          <w:rFonts w:ascii="宋体" w:hAnsi="宋体" w:eastAsia="宋体" w:cs="宋体"/>
          <w:color w:val="auto"/>
          <w:highlight w:val="none"/>
        </w:rPr>
      </w:pPr>
      <w:bookmarkStart w:id="46" w:name="_Toc252194856"/>
      <w:bookmarkStart w:id="47" w:name="_Toc221356891"/>
      <w:bookmarkStart w:id="48" w:name="_Toc239145358"/>
      <w:bookmarkStart w:id="49" w:name="_Toc241404206"/>
      <w:bookmarkStart w:id="50" w:name="_Toc245191318"/>
      <w:bookmarkStart w:id="51" w:name="_Toc251592741"/>
      <w:bookmarkStart w:id="52" w:name="_Toc221423623"/>
      <w:bookmarkStart w:id="53" w:name="_Toc223716002"/>
      <w:bookmarkStart w:id="54" w:name="_Toc221356955"/>
      <w:bookmarkStart w:id="55" w:name="_Toc246261269"/>
      <w:bookmarkStart w:id="56" w:name="_Toc251325218"/>
      <w:bookmarkStart w:id="57" w:name="_Toc245722285"/>
      <w:bookmarkStart w:id="58" w:name="_Toc222114883"/>
      <w:bookmarkStart w:id="59" w:name="_Toc221374630"/>
      <w:r>
        <w:rPr>
          <w:rFonts w:hint="eastAsia" w:ascii="宋体" w:hAnsi="宋体" w:eastAsia="宋体" w:cs="宋体"/>
          <w:color w:val="auto"/>
          <w:highlight w:val="none"/>
        </w:rPr>
        <w:t>注：该合同样本仅做参考，中标后，以甲方与</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签订的正式合同为准。</w:t>
      </w:r>
    </w:p>
    <w:p w14:paraId="022C5CBA">
      <w:pPr>
        <w:spacing w:line="400" w:lineRule="exact"/>
        <w:rPr>
          <w:rFonts w:ascii="宋体" w:hAnsi="宋体" w:eastAsia="宋体" w:cs="宋体"/>
          <w:color w:val="auto"/>
          <w:sz w:val="22"/>
          <w:highlight w:val="none"/>
          <w:u w:val="single"/>
        </w:rPr>
      </w:pPr>
      <w:bookmarkStart w:id="60" w:name="_Toc14456"/>
      <w:bookmarkStart w:id="61" w:name="_Toc522645679"/>
      <w:r>
        <w:rPr>
          <w:rFonts w:hint="eastAsia" w:ascii="宋体" w:hAnsi="宋体" w:eastAsia="宋体" w:cs="宋体"/>
          <w:color w:val="auto"/>
          <w:sz w:val="22"/>
          <w:highlight w:val="none"/>
        </w:rPr>
        <w:t>发包方（甲方）：</w:t>
      </w:r>
      <w:r>
        <w:rPr>
          <w:rFonts w:hint="eastAsia" w:ascii="宋体" w:hAnsi="宋体" w:cs="宋体"/>
          <w:color w:val="auto"/>
          <w:sz w:val="22"/>
          <w:highlight w:val="none"/>
          <w:u w:val="single"/>
        </w:rPr>
        <w:t xml:space="preserve">         </w:t>
      </w:r>
    </w:p>
    <w:p w14:paraId="541FC77E">
      <w:pPr>
        <w:spacing w:line="400" w:lineRule="exact"/>
        <w:rPr>
          <w:rFonts w:ascii="宋体" w:hAnsi="宋体" w:eastAsia="宋体" w:cs="宋体"/>
          <w:color w:val="auto"/>
          <w:sz w:val="22"/>
          <w:highlight w:val="none"/>
        </w:rPr>
      </w:pPr>
      <w:r>
        <w:rPr>
          <w:rFonts w:hint="eastAsia" w:ascii="宋体" w:hAnsi="宋体" w:eastAsia="宋体" w:cs="宋体"/>
          <w:color w:val="auto"/>
          <w:sz w:val="22"/>
          <w:highlight w:val="none"/>
        </w:rPr>
        <w:t>承包方（乙方）：</w:t>
      </w:r>
      <w:r>
        <w:rPr>
          <w:rFonts w:hint="eastAsia" w:ascii="宋体" w:hAnsi="宋体" w:eastAsia="宋体" w:cs="宋体"/>
          <w:i w:val="0"/>
          <w:iCs w:val="0"/>
          <w:color w:val="auto"/>
          <w:sz w:val="22"/>
          <w:highlight w:val="none"/>
          <w:u w:val="single"/>
          <w:lang w:val="en-US" w:eastAsia="zh-CN"/>
        </w:rPr>
        <w:t xml:space="preserve">         </w:t>
      </w:r>
      <w:r>
        <w:rPr>
          <w:rFonts w:hint="eastAsia" w:ascii="宋体" w:hAnsi="宋体" w:cs="宋体"/>
          <w:i w:val="0"/>
          <w:iCs w:val="0"/>
          <w:color w:val="auto"/>
          <w:sz w:val="22"/>
          <w:highlight w:val="none"/>
          <w:u w:val="single"/>
        </w:rPr>
        <w:t xml:space="preserve"> </w:t>
      </w:r>
    </w:p>
    <w:p w14:paraId="7FFD9437">
      <w:pPr>
        <w:spacing w:line="400" w:lineRule="exact"/>
        <w:ind w:firstLine="468" w:firstLineChars="200"/>
        <w:rPr>
          <w:rFonts w:ascii="宋体" w:hAnsi="宋体" w:eastAsia="宋体" w:cs="宋体"/>
          <w:color w:val="auto"/>
          <w:sz w:val="22"/>
          <w:highlight w:val="none"/>
        </w:rPr>
      </w:pPr>
      <w:r>
        <w:rPr>
          <w:rFonts w:ascii="新宋体" w:hAnsi="新宋体" w:eastAsia="新宋体" w:cs="新宋体"/>
          <w:color w:val="auto"/>
          <w:spacing w:val="7"/>
          <w:sz w:val="22"/>
          <w:highlight w:val="none"/>
        </w:rPr>
        <w:t>根据《中华人民共和国民法典》等有关法律法规的规定，本着诚实信用、平</w:t>
      </w:r>
      <w:r>
        <w:rPr>
          <w:rFonts w:ascii="新宋体" w:hAnsi="新宋体" w:eastAsia="新宋体" w:cs="新宋体"/>
          <w:color w:val="auto"/>
          <w:spacing w:val="8"/>
          <w:sz w:val="22"/>
          <w:highlight w:val="none"/>
        </w:rPr>
        <w:t>等、</w:t>
      </w:r>
      <w:r>
        <w:rPr>
          <w:rFonts w:ascii="新宋体" w:hAnsi="新宋体" w:eastAsia="新宋体" w:cs="新宋体"/>
          <w:color w:val="auto"/>
          <w:spacing w:val="4"/>
          <w:sz w:val="22"/>
          <w:highlight w:val="none"/>
        </w:rPr>
        <w:t>自</w:t>
      </w:r>
      <w:r>
        <w:rPr>
          <w:rFonts w:ascii="新宋体" w:hAnsi="新宋体" w:eastAsia="新宋体" w:cs="新宋体"/>
          <w:color w:val="auto"/>
          <w:spacing w:val="4"/>
          <w:sz w:val="22"/>
          <w:highlight w:val="none"/>
        </w:rPr>
        <w:t>愿、互利等原则，经双方友好协商，签订本合同。</w:t>
      </w:r>
    </w:p>
    <w:p w14:paraId="3BCD2586">
      <w:pPr>
        <w:spacing w:beforeLines="50" w:afterLines="50" w:line="40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第一条 采购标的</w:t>
      </w:r>
    </w:p>
    <w:tbl>
      <w:tblPr>
        <w:tblStyle w:val="11"/>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196"/>
        <w:gridCol w:w="5833"/>
      </w:tblGrid>
      <w:tr w14:paraId="76A6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3" w:type="dxa"/>
            <w:vAlign w:val="center"/>
          </w:tcPr>
          <w:p w14:paraId="68895837">
            <w:pPr>
              <w:pStyle w:val="16"/>
              <w:spacing w:before="120" w:after="120" w:line="300" w:lineRule="auto"/>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序号</w:t>
            </w:r>
          </w:p>
        </w:tc>
        <w:tc>
          <w:tcPr>
            <w:tcW w:w="3196" w:type="dxa"/>
            <w:vAlign w:val="center"/>
          </w:tcPr>
          <w:p w14:paraId="7D3A0068">
            <w:pPr>
              <w:pStyle w:val="16"/>
              <w:spacing w:before="120" w:after="120" w:line="300" w:lineRule="auto"/>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采购内容</w:t>
            </w:r>
          </w:p>
        </w:tc>
        <w:tc>
          <w:tcPr>
            <w:tcW w:w="5833" w:type="dxa"/>
            <w:vAlign w:val="center"/>
          </w:tcPr>
          <w:p w14:paraId="7AEF1452">
            <w:pPr>
              <w:pStyle w:val="16"/>
              <w:spacing w:before="120" w:after="120" w:line="300" w:lineRule="auto"/>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技术要求</w:t>
            </w:r>
          </w:p>
        </w:tc>
      </w:tr>
      <w:tr w14:paraId="16FC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3" w:type="dxa"/>
            <w:vAlign w:val="center"/>
          </w:tcPr>
          <w:p w14:paraId="26571F6C">
            <w:pPr>
              <w:pStyle w:val="16"/>
              <w:spacing w:before="120" w:after="120" w:line="300" w:lineRule="auto"/>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1</w:t>
            </w:r>
          </w:p>
        </w:tc>
        <w:tc>
          <w:tcPr>
            <w:tcW w:w="3196" w:type="dxa"/>
            <w:vAlign w:val="center"/>
          </w:tcPr>
          <w:p w14:paraId="3DADACD9">
            <w:pPr>
              <w:pStyle w:val="16"/>
              <w:spacing w:before="120" w:after="120" w:line="300" w:lineRule="auto"/>
              <w:jc w:val="cente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lang w:eastAsia="zh-CN"/>
              </w:rPr>
              <w:t>路基固化土填筑材料</w:t>
            </w:r>
          </w:p>
        </w:tc>
        <w:tc>
          <w:tcPr>
            <w:tcW w:w="5833" w:type="dxa"/>
            <w:vAlign w:val="center"/>
          </w:tcPr>
          <w:p w14:paraId="71F05E7A">
            <w:pPr>
              <w:pStyle w:val="16"/>
              <w:spacing w:before="120" w:after="120" w:line="300" w:lineRule="auto"/>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以满足项目的设计要求及相关规范规定为准</w:t>
            </w:r>
          </w:p>
        </w:tc>
      </w:tr>
    </w:tbl>
    <w:p w14:paraId="21456706">
      <w:pPr>
        <w:spacing w:beforeLines="50" w:afterLines="50" w:line="400" w:lineRule="exact"/>
        <w:ind w:firstLine="0" w:firstLineChars="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lang w:val="en-US" w:eastAsia="zh-CN"/>
        </w:rPr>
        <w:t>第二条 合同期限及合同金额</w:t>
      </w:r>
    </w:p>
    <w:p w14:paraId="24A88021">
      <w:pPr>
        <w:spacing w:line="40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一</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合同期限：本次合同服务期为 1 年，即</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val="en-US" w:eastAsia="zh-CN"/>
        </w:rPr>
        <w:t>年</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val="en-US" w:eastAsia="zh-CN"/>
        </w:rPr>
        <w:t>月</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val="en-US" w:eastAsia="zh-CN"/>
        </w:rPr>
        <w:t>日至</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val="en-US" w:eastAsia="zh-CN"/>
        </w:rPr>
        <w:t>年</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val="en-US" w:eastAsia="zh-CN"/>
        </w:rPr>
        <w:t>月</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lang w:val="en-US" w:eastAsia="zh-CN"/>
        </w:rPr>
        <w:t>日。合同期满或合同总价达采购金额（采购金额为100万元</w:t>
      </w:r>
      <w:r>
        <w:rPr>
          <w:rFonts w:hint="eastAsia" w:ascii="宋体" w:hAnsi="宋体" w:cs="宋体"/>
          <w:color w:val="auto"/>
          <w:sz w:val="22"/>
          <w:highlight w:val="none"/>
          <w:lang w:val="en-US" w:eastAsia="zh-CN"/>
        </w:rPr>
        <w:t>以内</w:t>
      </w:r>
      <w:r>
        <w:rPr>
          <w:rFonts w:hint="eastAsia" w:ascii="宋体" w:hAnsi="宋体" w:eastAsia="宋体" w:cs="宋体"/>
          <w:color w:val="auto"/>
          <w:sz w:val="22"/>
          <w:highlight w:val="none"/>
          <w:lang w:val="en-US" w:eastAsia="zh-CN"/>
        </w:rPr>
        <w:t>），任一条件达到即视为合作期结束。</w:t>
      </w:r>
    </w:p>
    <w:p w14:paraId="1B75C92E">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二</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本合同单价为（大写）：</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元/</w:t>
      </w:r>
      <w:r>
        <w:rPr>
          <w:rFonts w:hint="eastAsia" w:ascii="宋体" w:hAnsi="宋体" w:eastAsia="宋体" w:cs="宋体"/>
          <w:color w:val="auto"/>
          <w:sz w:val="22"/>
          <w:highlight w:val="none"/>
          <w:lang w:val="en-US" w:eastAsia="zh-CN"/>
        </w:rPr>
        <w:t>吨</w:t>
      </w:r>
      <w:r>
        <w:rPr>
          <w:rFonts w:hint="eastAsia" w:ascii="宋体" w:hAnsi="宋体" w:eastAsia="宋体" w:cs="宋体"/>
          <w:color w:val="auto"/>
          <w:sz w:val="22"/>
          <w:highlight w:val="none"/>
        </w:rPr>
        <w:t>（￥</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元/</w:t>
      </w:r>
      <w:r>
        <w:rPr>
          <w:rFonts w:hint="eastAsia" w:ascii="宋体" w:hAnsi="宋体" w:eastAsia="宋体" w:cs="宋体"/>
          <w:color w:val="auto"/>
          <w:sz w:val="22"/>
          <w:highlight w:val="none"/>
          <w:lang w:val="en-US" w:eastAsia="zh-CN"/>
        </w:rPr>
        <w:t>吨</w:t>
      </w:r>
      <w:r>
        <w:rPr>
          <w:rFonts w:hint="eastAsia" w:ascii="宋体" w:hAnsi="宋体" w:eastAsia="宋体" w:cs="宋体"/>
          <w:color w:val="auto"/>
          <w:sz w:val="22"/>
          <w:highlight w:val="none"/>
        </w:rPr>
        <w:t>）。</w:t>
      </w:r>
    </w:p>
    <w:p w14:paraId="62B584B3">
      <w:pPr>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合同价款中包括产品成本费、运输费、辅料费、技术、售后服务、质保及后期维护费用、招标代理服务费和税金等一切费用，即供应商所投的投标报价为供应商所能承受的整个项目的一次性最终报价，如有漏项，视同已包含在其它项目中，合同单价不做调整。</w:t>
      </w:r>
    </w:p>
    <w:p w14:paraId="70002A0E">
      <w:pPr>
        <w:snapToGrid w:val="0"/>
        <w:spacing w:beforeLines="50" w:afterLines="50"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第</w:t>
      </w:r>
      <w:r>
        <w:rPr>
          <w:rFonts w:hint="eastAsia" w:ascii="宋体" w:hAnsi="宋体" w:eastAsia="宋体" w:cs="宋体"/>
          <w:b/>
          <w:bCs/>
          <w:color w:val="auto"/>
          <w:sz w:val="22"/>
          <w:szCs w:val="22"/>
          <w:highlight w:val="none"/>
        </w:rPr>
        <w:t>三</w:t>
      </w:r>
      <w:r>
        <w:rPr>
          <w:rFonts w:hint="eastAsia" w:ascii="宋体" w:hAnsi="宋体" w:eastAsia="宋体" w:cs="宋体"/>
          <w:b/>
          <w:bCs/>
          <w:color w:val="auto"/>
          <w:sz w:val="22"/>
          <w:szCs w:val="22"/>
          <w:highlight w:val="none"/>
          <w:lang w:val="en-US" w:eastAsia="zh-CN"/>
        </w:rPr>
        <w:t xml:space="preserve">条 </w:t>
      </w:r>
      <w:r>
        <w:rPr>
          <w:rFonts w:hint="eastAsia" w:ascii="宋体" w:hAnsi="宋体" w:eastAsia="宋体" w:cs="宋体"/>
          <w:b/>
          <w:bCs/>
          <w:color w:val="auto"/>
          <w:sz w:val="22"/>
          <w:szCs w:val="22"/>
          <w:highlight w:val="none"/>
        </w:rPr>
        <w:t>技术资料</w:t>
      </w:r>
    </w:p>
    <w:p w14:paraId="3DC489BC">
      <w:pPr>
        <w:pStyle w:val="16"/>
        <w:tabs>
          <w:tab w:val="left" w:pos="900"/>
        </w:tabs>
        <w:snapToGrid w:val="0"/>
        <w:spacing w:line="360" w:lineRule="auto"/>
        <w:ind w:firstLine="440" w:firstLineChars="200"/>
        <w:rPr>
          <w:rFonts w:ascii="Arial" w:hAnsi="Arial" w:cs="Arial"/>
          <w:color w:val="auto"/>
          <w:sz w:val="22"/>
          <w:szCs w:val="22"/>
          <w:highlight w:val="none"/>
        </w:rPr>
      </w:pPr>
      <w:r>
        <w:rPr>
          <w:rFonts w:ascii="Arial" w:hAnsi="Arial" w:cs="Arial"/>
          <w:color w:val="auto"/>
          <w:sz w:val="22"/>
          <w:szCs w:val="22"/>
          <w:highlight w:val="none"/>
        </w:rPr>
        <w:t>1.乙方应按</w:t>
      </w:r>
      <w:r>
        <w:rPr>
          <w:rFonts w:hint="eastAsia" w:ascii="Arial" w:hAnsi="Arial" w:eastAsia="宋体" w:cs="Arial"/>
          <w:color w:val="auto"/>
          <w:sz w:val="22"/>
          <w:szCs w:val="22"/>
          <w:highlight w:val="none"/>
          <w:lang w:eastAsia="zh-CN"/>
        </w:rPr>
        <w:t>比选文件</w:t>
      </w:r>
      <w:r>
        <w:rPr>
          <w:rFonts w:ascii="Arial" w:hAnsi="Arial" w:cs="Arial"/>
          <w:color w:val="auto"/>
          <w:sz w:val="22"/>
          <w:szCs w:val="22"/>
          <w:highlight w:val="none"/>
        </w:rPr>
        <w:t>规定的时间向甲方提供使用货物的有关技术资料。</w:t>
      </w:r>
    </w:p>
    <w:p w14:paraId="5A08FDE9">
      <w:pPr>
        <w:pStyle w:val="16"/>
        <w:tabs>
          <w:tab w:val="left" w:pos="900"/>
        </w:tabs>
        <w:snapToGrid w:val="0"/>
        <w:spacing w:line="360" w:lineRule="auto"/>
        <w:ind w:firstLine="440" w:firstLineChars="200"/>
        <w:rPr>
          <w:rFonts w:ascii="Arial" w:hAnsi="Arial" w:cs="Arial"/>
          <w:color w:val="auto"/>
          <w:sz w:val="22"/>
          <w:szCs w:val="22"/>
          <w:highlight w:val="none"/>
        </w:rPr>
      </w:pPr>
      <w:r>
        <w:rPr>
          <w:rFonts w:ascii="Arial" w:hAnsi="Arial" w:cs="Arial"/>
          <w:color w:val="auto"/>
          <w:sz w:val="22"/>
          <w:szCs w:val="22"/>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6EEE699">
      <w:pPr>
        <w:snapToGrid w:val="0"/>
        <w:spacing w:beforeLines="50" w:afterLines="50" w:line="400" w:lineRule="exact"/>
        <w:ind w:left="378" w:hangingChars="17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第</w:t>
      </w:r>
      <w:r>
        <w:rPr>
          <w:rFonts w:hint="eastAsia" w:ascii="宋体" w:hAnsi="宋体" w:eastAsia="宋体" w:cs="宋体"/>
          <w:b/>
          <w:bCs/>
          <w:color w:val="auto"/>
          <w:sz w:val="22"/>
          <w:szCs w:val="22"/>
          <w:highlight w:val="none"/>
        </w:rPr>
        <w:t>四</w:t>
      </w:r>
      <w:r>
        <w:rPr>
          <w:rFonts w:hint="eastAsia" w:ascii="宋体" w:hAnsi="宋体" w:eastAsia="宋体" w:cs="宋体"/>
          <w:b/>
          <w:bCs/>
          <w:color w:val="auto"/>
          <w:sz w:val="22"/>
          <w:szCs w:val="22"/>
          <w:highlight w:val="none"/>
          <w:lang w:val="en-US" w:eastAsia="zh-CN"/>
        </w:rPr>
        <w:t xml:space="preserve">条 </w:t>
      </w:r>
      <w:r>
        <w:rPr>
          <w:rFonts w:hint="eastAsia" w:ascii="宋体" w:hAnsi="宋体" w:eastAsia="宋体" w:cs="宋体"/>
          <w:b/>
          <w:bCs/>
          <w:color w:val="auto"/>
          <w:sz w:val="22"/>
          <w:szCs w:val="22"/>
          <w:highlight w:val="none"/>
        </w:rPr>
        <w:t>知识产权</w:t>
      </w:r>
    </w:p>
    <w:p w14:paraId="46FFEE95">
      <w:pPr>
        <w:pStyle w:val="16"/>
        <w:tabs>
          <w:tab w:val="left" w:pos="900"/>
        </w:tabs>
        <w:snapToGrid w:val="0"/>
        <w:spacing w:line="360" w:lineRule="auto"/>
        <w:ind w:firstLine="440" w:firstLineChars="200"/>
        <w:rPr>
          <w:rFonts w:ascii="Arial" w:hAnsi="Arial" w:cs="Arial"/>
          <w:bCs/>
          <w:color w:val="auto"/>
          <w:sz w:val="22"/>
          <w:szCs w:val="22"/>
          <w:highlight w:val="none"/>
        </w:rPr>
      </w:pPr>
      <w:r>
        <w:rPr>
          <w:rFonts w:ascii="Arial" w:hAnsi="Arial" w:cs="Arial"/>
          <w:color w:val="auto"/>
          <w:sz w:val="22"/>
          <w:szCs w:val="22"/>
          <w:highlight w:val="none"/>
        </w:rPr>
        <w:t>乙方应保证所提供的货物或其任何一部分均不会侵犯任何第三方的知识产权</w:t>
      </w:r>
      <w:r>
        <w:rPr>
          <w:rFonts w:ascii="Arial" w:hAnsi="Arial" w:cs="Arial"/>
          <w:bCs/>
          <w:color w:val="auto"/>
          <w:sz w:val="22"/>
          <w:szCs w:val="22"/>
          <w:highlight w:val="none"/>
        </w:rPr>
        <w:t>。</w:t>
      </w:r>
      <w:r>
        <w:rPr>
          <w:rFonts w:ascii="Arial" w:hAnsi="Arial" w:cs="Arial"/>
          <w:color w:val="auto"/>
          <w:sz w:val="22"/>
          <w:szCs w:val="22"/>
          <w:highlight w:val="none"/>
        </w:rPr>
        <w:t>一旦出现侵权，索赔或诉讼，乙方应承担全部责任。</w:t>
      </w:r>
    </w:p>
    <w:p w14:paraId="4F1F7506">
      <w:pPr>
        <w:snapToGrid w:val="0"/>
        <w:spacing w:beforeLines="50" w:afterLines="50" w:line="400" w:lineRule="exact"/>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lang w:val="en-US" w:eastAsia="zh-CN"/>
        </w:rPr>
        <w:t>第</w:t>
      </w:r>
      <w:r>
        <w:rPr>
          <w:rFonts w:hint="eastAsia" w:ascii="宋体" w:hAnsi="宋体" w:eastAsia="宋体" w:cs="宋体"/>
          <w:b/>
          <w:bCs/>
          <w:color w:val="auto"/>
          <w:sz w:val="22"/>
          <w:szCs w:val="22"/>
          <w:highlight w:val="none"/>
        </w:rPr>
        <w:t>五</w:t>
      </w:r>
      <w:r>
        <w:rPr>
          <w:rFonts w:hint="eastAsia" w:ascii="宋体" w:hAnsi="宋体" w:eastAsia="宋体" w:cs="宋体"/>
          <w:b/>
          <w:bCs/>
          <w:color w:val="auto"/>
          <w:sz w:val="22"/>
          <w:szCs w:val="22"/>
          <w:highlight w:val="none"/>
          <w:lang w:val="en-US" w:eastAsia="zh-CN"/>
        </w:rPr>
        <w:t xml:space="preserve">条 </w:t>
      </w:r>
      <w:r>
        <w:rPr>
          <w:rFonts w:hint="eastAsia" w:ascii="宋体" w:hAnsi="宋体" w:eastAsia="宋体" w:cs="宋体"/>
          <w:b/>
          <w:bCs/>
          <w:color w:val="auto"/>
          <w:sz w:val="22"/>
          <w:szCs w:val="22"/>
          <w:highlight w:val="none"/>
        </w:rPr>
        <w:t>产权担保</w:t>
      </w:r>
    </w:p>
    <w:p w14:paraId="309EDFA6">
      <w:pPr>
        <w:pStyle w:val="16"/>
        <w:tabs>
          <w:tab w:val="left" w:pos="900"/>
        </w:tabs>
        <w:snapToGrid w:val="0"/>
        <w:spacing w:line="360" w:lineRule="auto"/>
        <w:ind w:firstLine="440" w:firstLineChars="200"/>
        <w:rPr>
          <w:rFonts w:ascii="Arial" w:hAnsi="Arial" w:cs="Arial"/>
          <w:color w:val="auto"/>
          <w:sz w:val="22"/>
          <w:szCs w:val="22"/>
          <w:highlight w:val="none"/>
        </w:rPr>
      </w:pPr>
      <w:r>
        <w:rPr>
          <w:rFonts w:ascii="Arial" w:hAnsi="Arial" w:cs="Arial"/>
          <w:color w:val="auto"/>
          <w:sz w:val="22"/>
          <w:szCs w:val="22"/>
          <w:highlight w:val="none"/>
        </w:rPr>
        <w:t>乙方保证所交付的货物的所有权完全属于乙方且无任何抵押、查封等产权瑕疵。</w:t>
      </w:r>
    </w:p>
    <w:p w14:paraId="3B9E7BFD">
      <w:pPr>
        <w:snapToGrid w:val="0"/>
        <w:spacing w:beforeLines="50" w:afterLines="50" w:line="400" w:lineRule="exact"/>
        <w:ind w:left="375" w:hangingChars="17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第</w:t>
      </w:r>
      <w:r>
        <w:rPr>
          <w:rFonts w:hint="eastAsia" w:ascii="宋体" w:hAnsi="宋体" w:eastAsia="宋体" w:cs="宋体"/>
          <w:b/>
          <w:bCs/>
          <w:color w:val="auto"/>
          <w:sz w:val="22"/>
          <w:szCs w:val="22"/>
          <w:highlight w:val="none"/>
        </w:rPr>
        <w:t>六</w:t>
      </w:r>
      <w:r>
        <w:rPr>
          <w:rFonts w:hint="eastAsia" w:ascii="宋体" w:hAnsi="宋体" w:eastAsia="宋体" w:cs="宋体"/>
          <w:b/>
          <w:bCs/>
          <w:color w:val="auto"/>
          <w:sz w:val="22"/>
          <w:szCs w:val="22"/>
          <w:highlight w:val="none"/>
          <w:lang w:val="en-US" w:eastAsia="zh-CN"/>
        </w:rPr>
        <w:t xml:space="preserve">条 </w:t>
      </w:r>
      <w:r>
        <w:rPr>
          <w:rFonts w:hint="eastAsia" w:ascii="宋体" w:hAnsi="宋体" w:eastAsia="宋体" w:cs="宋体"/>
          <w:b/>
          <w:bCs/>
          <w:color w:val="auto"/>
          <w:sz w:val="22"/>
          <w:szCs w:val="22"/>
          <w:highlight w:val="none"/>
        </w:rPr>
        <w:t>转包或分包</w:t>
      </w:r>
    </w:p>
    <w:p w14:paraId="493DE3BC">
      <w:pPr>
        <w:snapToGrid w:val="0"/>
        <w:spacing w:line="360" w:lineRule="auto"/>
        <w:ind w:firstLine="440" w:firstLineChars="200"/>
        <w:rPr>
          <w:rFonts w:ascii="Arial" w:hAnsi="Arial" w:cs="Arial"/>
          <w:color w:val="auto"/>
          <w:sz w:val="22"/>
          <w:szCs w:val="22"/>
          <w:highlight w:val="none"/>
        </w:rPr>
      </w:pPr>
      <w:r>
        <w:rPr>
          <w:rFonts w:ascii="Arial" w:hAnsi="Arial" w:cs="Arial"/>
          <w:color w:val="auto"/>
          <w:sz w:val="22"/>
          <w:szCs w:val="22"/>
          <w:highlight w:val="none"/>
        </w:rPr>
        <w:t>1.本合同范围的货物，应由乙方直接供应，不得转让他人供应。</w:t>
      </w:r>
    </w:p>
    <w:p w14:paraId="370BA7AD">
      <w:pPr>
        <w:snapToGrid w:val="0"/>
        <w:spacing w:line="360" w:lineRule="auto"/>
        <w:ind w:firstLine="440" w:firstLineChars="200"/>
        <w:rPr>
          <w:rFonts w:ascii="Arial" w:hAnsi="Arial" w:cs="Arial"/>
          <w:color w:val="auto"/>
          <w:sz w:val="22"/>
          <w:szCs w:val="22"/>
          <w:highlight w:val="none"/>
        </w:rPr>
      </w:pPr>
      <w:r>
        <w:rPr>
          <w:rFonts w:ascii="Arial" w:hAnsi="Arial" w:cs="Arial"/>
          <w:color w:val="auto"/>
          <w:sz w:val="22"/>
          <w:szCs w:val="22"/>
          <w:highlight w:val="none"/>
        </w:rPr>
        <w:t>2.除非得到甲方的书面同意，乙方不得将本合同范围的货物全部或部分分包给他人供应。</w:t>
      </w:r>
    </w:p>
    <w:p w14:paraId="137C4938">
      <w:pPr>
        <w:snapToGrid w:val="0"/>
        <w:spacing w:line="360" w:lineRule="auto"/>
        <w:ind w:firstLine="440" w:firstLineChars="200"/>
        <w:rPr>
          <w:rFonts w:ascii="Arial" w:hAnsi="Arial" w:cs="Arial"/>
          <w:color w:val="auto"/>
          <w:sz w:val="22"/>
          <w:szCs w:val="22"/>
          <w:highlight w:val="none"/>
        </w:rPr>
      </w:pPr>
      <w:r>
        <w:rPr>
          <w:rFonts w:ascii="Arial" w:hAnsi="Arial" w:cs="Arial"/>
          <w:color w:val="auto"/>
          <w:sz w:val="22"/>
          <w:szCs w:val="22"/>
          <w:highlight w:val="none"/>
        </w:rPr>
        <w:t>3.如有转让和未经甲方同意的分包行为，甲方有权单方面解除合同、没收乙方的履约保证金并追究乙方的违约责任。</w:t>
      </w:r>
    </w:p>
    <w:p w14:paraId="305355AA">
      <w:pPr>
        <w:snapToGrid w:val="0"/>
        <w:spacing w:beforeLines="50" w:afterLines="50"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第</w:t>
      </w:r>
      <w:r>
        <w:rPr>
          <w:rFonts w:hint="eastAsia" w:ascii="宋体" w:hAnsi="宋体" w:eastAsia="宋体" w:cs="宋体"/>
          <w:b/>
          <w:bCs/>
          <w:color w:val="auto"/>
          <w:sz w:val="22"/>
          <w:szCs w:val="22"/>
          <w:highlight w:val="none"/>
        </w:rPr>
        <w:t>七</w:t>
      </w:r>
      <w:r>
        <w:rPr>
          <w:rFonts w:hint="eastAsia" w:ascii="宋体" w:hAnsi="宋体" w:eastAsia="宋体" w:cs="宋体"/>
          <w:b/>
          <w:bCs/>
          <w:color w:val="auto"/>
          <w:sz w:val="22"/>
          <w:szCs w:val="22"/>
          <w:highlight w:val="none"/>
          <w:lang w:val="en-US" w:eastAsia="zh-CN"/>
        </w:rPr>
        <w:t xml:space="preserve">条 </w:t>
      </w:r>
      <w:r>
        <w:rPr>
          <w:rFonts w:hint="eastAsia" w:ascii="宋体" w:hAnsi="宋体" w:eastAsia="宋体" w:cs="宋体"/>
          <w:b/>
          <w:bCs/>
          <w:color w:val="auto"/>
          <w:sz w:val="22"/>
          <w:szCs w:val="22"/>
          <w:highlight w:val="none"/>
        </w:rPr>
        <w:t>供货要求</w:t>
      </w:r>
    </w:p>
    <w:p w14:paraId="37493C70">
      <w:pPr>
        <w:autoSpaceDE w:val="0"/>
        <w:autoSpaceDN w:val="0"/>
        <w:adjustRightInd w:val="0"/>
        <w:spacing w:line="360" w:lineRule="auto"/>
        <w:ind w:firstLine="440" w:firstLineChars="200"/>
        <w:rPr>
          <w:color w:val="auto"/>
          <w:sz w:val="22"/>
          <w:szCs w:val="22"/>
          <w:highlight w:val="none"/>
        </w:rPr>
      </w:pPr>
      <w:r>
        <w:rPr>
          <w:rFonts w:hint="eastAsia" w:ascii="宋体" w:hAnsi="宋体" w:cs="宋体"/>
          <w:color w:val="auto"/>
          <w:sz w:val="22"/>
          <w:szCs w:val="22"/>
          <w:highlight w:val="none"/>
        </w:rPr>
        <w:t>1.供货周期</w:t>
      </w:r>
      <w:r>
        <w:rPr>
          <w:color w:val="auto"/>
          <w:sz w:val="22"/>
          <w:szCs w:val="22"/>
          <w:highlight w:val="none"/>
        </w:rPr>
        <w:t>：</w:t>
      </w:r>
      <w:r>
        <w:rPr>
          <w:rFonts w:hint="eastAsia"/>
          <w:color w:val="auto"/>
          <w:sz w:val="22"/>
          <w:szCs w:val="22"/>
          <w:highlight w:val="none"/>
          <w:lang w:val="en-US" w:eastAsia="zh-CN"/>
        </w:rPr>
        <w:t>本项目为分批次供货，</w:t>
      </w:r>
      <w:r>
        <w:rPr>
          <w:rFonts w:hint="eastAsia" w:ascii="Arial" w:hAnsi="Arial" w:cs="Arial"/>
          <w:color w:val="auto"/>
          <w:highlight w:val="none"/>
          <w:lang w:val="en-US" w:eastAsia="zh-CN"/>
        </w:rPr>
        <w:t>乙方在接到甲方订单后一周内完成供货</w:t>
      </w:r>
      <w:r>
        <w:rPr>
          <w:rFonts w:hint="eastAsia" w:ascii="Arial" w:hAnsi="Arial" w:cs="Arial"/>
          <w:color w:val="auto"/>
          <w:sz w:val="22"/>
          <w:szCs w:val="22"/>
          <w:highlight w:val="none"/>
        </w:rPr>
        <w:t>；</w:t>
      </w:r>
    </w:p>
    <w:p w14:paraId="099E2DE7">
      <w:pPr>
        <w:autoSpaceDE w:val="0"/>
        <w:autoSpaceDN w:val="0"/>
        <w:adjustRightInd w:val="0"/>
        <w:spacing w:line="360" w:lineRule="auto"/>
        <w:ind w:firstLine="440" w:firstLineChars="200"/>
        <w:rPr>
          <w:color w:val="auto"/>
          <w:sz w:val="22"/>
          <w:szCs w:val="22"/>
          <w:highlight w:val="none"/>
        </w:rPr>
      </w:pPr>
      <w:r>
        <w:rPr>
          <w:rFonts w:hint="eastAsia" w:ascii="宋体" w:hAnsi="宋体" w:cs="宋体"/>
          <w:color w:val="auto"/>
          <w:sz w:val="22"/>
          <w:szCs w:val="22"/>
          <w:highlight w:val="none"/>
        </w:rPr>
        <w:t>2.</w:t>
      </w:r>
      <w:r>
        <w:rPr>
          <w:color w:val="auto"/>
          <w:sz w:val="22"/>
          <w:szCs w:val="22"/>
          <w:highlight w:val="none"/>
        </w:rPr>
        <w:t>运输及费用：</w:t>
      </w:r>
      <w:r>
        <w:rPr>
          <w:rFonts w:hint="eastAsia"/>
          <w:color w:val="auto"/>
          <w:sz w:val="22"/>
          <w:szCs w:val="22"/>
          <w:highlight w:val="none"/>
        </w:rPr>
        <w:t>乙方</w:t>
      </w:r>
      <w:r>
        <w:rPr>
          <w:color w:val="auto"/>
          <w:sz w:val="22"/>
          <w:szCs w:val="22"/>
          <w:highlight w:val="none"/>
        </w:rPr>
        <w:t>负责办理运输和保险，将材料运抵</w:t>
      </w:r>
      <w:r>
        <w:rPr>
          <w:rFonts w:hint="eastAsia"/>
          <w:color w:val="auto"/>
          <w:sz w:val="22"/>
          <w:szCs w:val="22"/>
          <w:highlight w:val="none"/>
        </w:rPr>
        <w:t>甲方</w:t>
      </w:r>
      <w:r>
        <w:rPr>
          <w:color w:val="auto"/>
          <w:sz w:val="22"/>
          <w:szCs w:val="22"/>
          <w:highlight w:val="none"/>
        </w:rPr>
        <w:t>工地现场，并负责到场卸货。材料运输费、保险费及装卸费已包含在材料</w:t>
      </w:r>
      <w:r>
        <w:rPr>
          <w:rFonts w:hint="eastAsia"/>
          <w:color w:val="auto"/>
          <w:sz w:val="22"/>
          <w:szCs w:val="22"/>
          <w:highlight w:val="none"/>
          <w:lang w:val="en-US" w:eastAsia="zh-CN"/>
        </w:rPr>
        <w:t>单价</w:t>
      </w:r>
      <w:r>
        <w:rPr>
          <w:color w:val="auto"/>
          <w:sz w:val="22"/>
          <w:szCs w:val="22"/>
          <w:highlight w:val="none"/>
        </w:rPr>
        <w:t>中，</w:t>
      </w:r>
      <w:r>
        <w:rPr>
          <w:rFonts w:hint="eastAsia"/>
          <w:color w:val="auto"/>
          <w:sz w:val="22"/>
          <w:szCs w:val="22"/>
          <w:highlight w:val="none"/>
        </w:rPr>
        <w:t>乙方</w:t>
      </w:r>
      <w:r>
        <w:rPr>
          <w:color w:val="auto"/>
          <w:sz w:val="22"/>
          <w:szCs w:val="22"/>
          <w:highlight w:val="none"/>
        </w:rPr>
        <w:t>不得以单次供货数量少为由要求增加运费；</w:t>
      </w:r>
    </w:p>
    <w:p w14:paraId="65597088">
      <w:pPr>
        <w:autoSpaceDE w:val="0"/>
        <w:autoSpaceDN w:val="0"/>
        <w:adjustRightInd w:val="0"/>
        <w:spacing w:line="360" w:lineRule="auto"/>
        <w:ind w:firstLine="440" w:firstLineChars="200"/>
        <w:rPr>
          <w:color w:val="auto"/>
          <w:sz w:val="22"/>
          <w:szCs w:val="22"/>
          <w:highlight w:val="none"/>
        </w:rPr>
      </w:pPr>
      <w:r>
        <w:rPr>
          <w:rFonts w:hint="eastAsia" w:ascii="宋体" w:hAnsi="宋体" w:cs="宋体"/>
          <w:color w:val="auto"/>
          <w:sz w:val="22"/>
          <w:szCs w:val="22"/>
          <w:highlight w:val="none"/>
        </w:rPr>
        <w:t>3.乙方</w:t>
      </w:r>
      <w:r>
        <w:rPr>
          <w:color w:val="auto"/>
          <w:sz w:val="22"/>
          <w:szCs w:val="22"/>
          <w:highlight w:val="none"/>
        </w:rPr>
        <w:t>须具有相应的运输车辆，保证运输的及时性</w:t>
      </w:r>
      <w:r>
        <w:rPr>
          <w:rFonts w:hint="eastAsia"/>
          <w:color w:val="auto"/>
          <w:sz w:val="22"/>
          <w:szCs w:val="22"/>
          <w:highlight w:val="none"/>
        </w:rPr>
        <w:t>；</w:t>
      </w:r>
      <w:r>
        <w:rPr>
          <w:color w:val="auto"/>
          <w:sz w:val="22"/>
          <w:szCs w:val="22"/>
          <w:highlight w:val="none"/>
        </w:rPr>
        <w:t>并指定专人作为本项目负责人，负责货物运输安排的协调工作，同时保障与</w:t>
      </w:r>
      <w:r>
        <w:rPr>
          <w:rFonts w:hint="eastAsia"/>
          <w:color w:val="auto"/>
          <w:sz w:val="22"/>
          <w:szCs w:val="22"/>
          <w:highlight w:val="none"/>
        </w:rPr>
        <w:t>甲方</w:t>
      </w:r>
      <w:r>
        <w:rPr>
          <w:color w:val="auto"/>
          <w:sz w:val="22"/>
          <w:szCs w:val="22"/>
          <w:highlight w:val="none"/>
        </w:rPr>
        <w:t>之间的沟通及时性</w:t>
      </w:r>
      <w:r>
        <w:rPr>
          <w:rFonts w:hint="eastAsia"/>
          <w:color w:val="auto"/>
          <w:sz w:val="22"/>
          <w:szCs w:val="22"/>
          <w:highlight w:val="none"/>
        </w:rPr>
        <w:t>；</w:t>
      </w:r>
    </w:p>
    <w:p w14:paraId="318B376C">
      <w:pPr>
        <w:autoSpaceDE w:val="0"/>
        <w:autoSpaceDN w:val="0"/>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4.材料交货时乙方须提供下列技术资料和文件：产品合格证或检测报告单、材料专用清单、乙方和甲方认为有必要提供的其它文件和技术资料；</w:t>
      </w:r>
    </w:p>
    <w:p w14:paraId="6AE31F00">
      <w:pPr>
        <w:autoSpaceDE w:val="0"/>
        <w:autoSpaceDN w:val="0"/>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.乙方将路</w:t>
      </w:r>
      <w:r>
        <w:rPr>
          <w:rFonts w:hint="eastAsia" w:ascii="宋体" w:hAnsi="宋体" w:cs="宋体"/>
          <w:color w:val="auto"/>
          <w:sz w:val="22"/>
          <w:szCs w:val="22"/>
          <w:highlight w:val="none"/>
          <w:lang w:val="en-US" w:eastAsia="zh-CN"/>
        </w:rPr>
        <w:t>基</w:t>
      </w:r>
      <w:r>
        <w:rPr>
          <w:rFonts w:hint="eastAsia" w:ascii="宋体" w:hAnsi="宋体" w:cs="宋体"/>
          <w:color w:val="auto"/>
          <w:sz w:val="22"/>
          <w:szCs w:val="22"/>
          <w:highlight w:val="none"/>
        </w:rPr>
        <w:t>固化土填筑材料运至甲方指定地点后，由甲方和乙方双方对每一批次的路基固化土填筑材料共同</w:t>
      </w:r>
      <w:r>
        <w:rPr>
          <w:rFonts w:hint="eastAsia" w:ascii="宋体" w:hAnsi="宋体" w:cs="宋体"/>
          <w:color w:val="auto"/>
          <w:sz w:val="22"/>
          <w:szCs w:val="22"/>
          <w:highlight w:val="none"/>
          <w:lang w:val="en-US" w:eastAsia="zh-CN"/>
        </w:rPr>
        <w:t>取样</w:t>
      </w:r>
      <w:r>
        <w:rPr>
          <w:rFonts w:hint="eastAsia" w:ascii="宋体" w:hAnsi="宋体" w:cs="宋体"/>
          <w:color w:val="auto"/>
          <w:sz w:val="22"/>
          <w:szCs w:val="22"/>
          <w:highlight w:val="none"/>
        </w:rPr>
        <w:t>委托第三方检验检测</w:t>
      </w:r>
      <w:r>
        <w:rPr>
          <w:rFonts w:hint="eastAsia" w:ascii="宋体" w:hAnsi="宋体" w:cs="宋体"/>
          <w:color w:val="auto"/>
          <w:sz w:val="22"/>
          <w:szCs w:val="22"/>
          <w:highlight w:val="none"/>
          <w:lang w:val="en-US" w:eastAsia="zh-CN"/>
        </w:rPr>
        <w:t>单位</w:t>
      </w:r>
      <w:r>
        <w:rPr>
          <w:rFonts w:hint="eastAsia" w:ascii="宋体" w:hAnsi="宋体" w:cs="宋体"/>
          <w:color w:val="auto"/>
          <w:sz w:val="22"/>
          <w:szCs w:val="22"/>
          <w:highlight w:val="none"/>
        </w:rPr>
        <w:t>对样品进行检验，并在</w:t>
      </w:r>
      <w:r>
        <w:rPr>
          <w:rFonts w:hint="eastAsia" w:ascii="宋体" w:hAnsi="宋体" w:cs="宋体"/>
          <w:color w:val="auto"/>
          <w:sz w:val="22"/>
          <w:szCs w:val="22"/>
          <w:highlight w:val="none"/>
          <w:lang w:val="en-US" w:eastAsia="zh-CN"/>
        </w:rPr>
        <w:t>取样单</w:t>
      </w:r>
      <w:r>
        <w:rPr>
          <w:rFonts w:hint="eastAsia" w:ascii="宋体" w:hAnsi="宋体" w:cs="宋体"/>
          <w:color w:val="auto"/>
          <w:sz w:val="22"/>
          <w:szCs w:val="22"/>
          <w:highlight w:val="none"/>
        </w:rPr>
        <w:t>上由双方指定人签字，然后甲方在</w:t>
      </w:r>
      <w:r>
        <w:rPr>
          <w:rFonts w:hint="eastAsia" w:ascii="宋体" w:hAnsi="宋体" w:cs="宋体"/>
          <w:color w:val="auto"/>
          <w:sz w:val="22"/>
          <w:szCs w:val="22"/>
          <w:highlight w:val="none"/>
          <w:lang w:val="en-US" w:eastAsia="zh-CN"/>
        </w:rPr>
        <w:t>收</w:t>
      </w:r>
      <w:r>
        <w:rPr>
          <w:rFonts w:hint="eastAsia" w:ascii="宋体" w:hAnsi="宋体" w:cs="宋体"/>
          <w:color w:val="auto"/>
          <w:sz w:val="22"/>
          <w:szCs w:val="22"/>
          <w:highlight w:val="none"/>
        </w:rPr>
        <w:t>料单上由甲方指定验收人员签字后（以下简称收料单），乙方即完成交货义务（但交货完成仅代表货物数量验收完成）；</w:t>
      </w:r>
    </w:p>
    <w:p w14:paraId="42B82EC4">
      <w:pPr>
        <w:autoSpaceDE w:val="0"/>
        <w:autoSpaceDN w:val="0"/>
        <w:adjustRightIn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.路基固化土填筑材料数量验收采用甲方现场过磅计量，统一按照吨计量单位进行计价。由甲、乙双方委派的代表签单，并交由乙方统一汇总</w:t>
      </w:r>
      <w:r>
        <w:rPr>
          <w:rFonts w:hint="eastAsia" w:ascii="宋体" w:hAnsi="宋体" w:cs="宋体"/>
          <w:color w:val="auto"/>
          <w:sz w:val="22"/>
          <w:szCs w:val="22"/>
          <w:highlight w:val="none"/>
          <w:lang w:eastAsia="zh-CN"/>
        </w:rPr>
        <w:t>。（合同执行过程中出现立方为计量单位的，折算公式为1立方米路基固化土填筑材料=1.9吨）</w:t>
      </w:r>
    </w:p>
    <w:p w14:paraId="535037D5">
      <w:pPr>
        <w:autoSpaceDE w:val="0"/>
        <w:autoSpaceDN w:val="0"/>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.未经甲方书面同意，乙方擅自将供应的</w:t>
      </w:r>
      <w:r>
        <w:rPr>
          <w:rFonts w:hint="eastAsia" w:ascii="宋体" w:hAnsi="宋体" w:cs="宋体"/>
          <w:color w:val="auto"/>
          <w:sz w:val="22"/>
          <w:szCs w:val="22"/>
          <w:highlight w:val="none"/>
          <w:lang w:eastAsia="zh-CN"/>
        </w:rPr>
        <w:t>路基固化土填筑材料</w:t>
      </w:r>
      <w:r>
        <w:rPr>
          <w:rFonts w:hint="eastAsia" w:ascii="宋体" w:hAnsi="宋体" w:cs="宋体"/>
          <w:color w:val="auto"/>
          <w:sz w:val="22"/>
          <w:szCs w:val="22"/>
          <w:highlight w:val="none"/>
        </w:rPr>
        <w:t>与合同约定外的其他品牌、规格的固化土或其他供应商提供的混合储运、提供，则由此造成的质量问题由乙方自行承担全部责任与损失，并且甲方有权单方终止合同履行；</w:t>
      </w:r>
    </w:p>
    <w:p w14:paraId="7FD5B040">
      <w:pPr>
        <w:autoSpaceDE w:val="0"/>
        <w:autoSpaceDN w:val="0"/>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.在乙方供货过程中，乙方承担货物交货前的所有安全责任问题；</w:t>
      </w:r>
    </w:p>
    <w:p w14:paraId="16E56CCB">
      <w:pPr>
        <w:autoSpaceDE w:val="0"/>
        <w:autoSpaceDN w:val="0"/>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cs="宋体"/>
          <w:color w:val="auto"/>
          <w:sz w:val="22"/>
          <w:szCs w:val="22"/>
          <w:highlight w:val="none"/>
        </w:rPr>
        <w:t>.乙方须无条件地接受甲方对其投入到本项目的产品质量、服务质量的监督和管理。项目实施过程中，乙方必须要严格把关，按照相应规范标准提供原材料，如出现不符合标准要求的情况，乙方必须无条件更换原材料，直至达到规范标准要求，所发生的费用均由乙方承担；</w:t>
      </w:r>
    </w:p>
    <w:p w14:paraId="1800D7DA">
      <w:pPr>
        <w:autoSpaceDE w:val="0"/>
        <w:autoSpaceDN w:val="0"/>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0</w:t>
      </w:r>
      <w:r>
        <w:rPr>
          <w:rFonts w:hint="eastAsia" w:ascii="宋体" w:hAnsi="宋体" w:cs="宋体"/>
          <w:color w:val="auto"/>
          <w:sz w:val="22"/>
          <w:szCs w:val="22"/>
          <w:highlight w:val="none"/>
        </w:rPr>
        <w:t>.验收</w:t>
      </w:r>
    </w:p>
    <w:p w14:paraId="6F3BDDB1">
      <w:pPr>
        <w:autoSpaceDE w:val="0"/>
        <w:autoSpaceDN w:val="0"/>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0</w:t>
      </w:r>
      <w:r>
        <w:rPr>
          <w:rFonts w:hint="eastAsia" w:ascii="宋体" w:hAnsi="宋体" w:cs="宋体"/>
          <w:color w:val="auto"/>
          <w:sz w:val="22"/>
          <w:szCs w:val="22"/>
          <w:highlight w:val="none"/>
        </w:rPr>
        <w:t>.1 材料运达到货地点后，由甲方清点接货。如因包装或运输不当造成材料质量下降或缺损等，乙方承担责任；</w:t>
      </w:r>
    </w:p>
    <w:p w14:paraId="1C16B31C">
      <w:pPr>
        <w:autoSpaceDE w:val="0"/>
        <w:autoSpaceDN w:val="0"/>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0</w:t>
      </w:r>
      <w:r>
        <w:rPr>
          <w:rFonts w:hint="eastAsia" w:ascii="宋体" w:hAnsi="宋体" w:cs="宋体"/>
          <w:color w:val="auto"/>
          <w:sz w:val="22"/>
          <w:szCs w:val="22"/>
          <w:highlight w:val="none"/>
        </w:rPr>
        <w:t>.2 材料到达交货地点后，乙方应按甲方安排的时间派人到交货点进行检验。乙方应按合同所需供应的材料提供检测报告单，供双方按合同要求进行验收，若有短少或不符合标准的材料，乙方应12小时内补足或更换全新同规格的材料，并承担由此产生的一切费用；如果该不合格材料已经被使用，由此引发的一切后果由乙方承担；</w:t>
      </w:r>
    </w:p>
    <w:p w14:paraId="6DF2D840">
      <w:pPr>
        <w:autoSpaceDE w:val="0"/>
        <w:autoSpaceDN w:val="0"/>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0</w:t>
      </w:r>
      <w:r>
        <w:rPr>
          <w:rFonts w:hint="eastAsia" w:ascii="宋体" w:hAnsi="宋体" w:cs="宋体"/>
          <w:color w:val="auto"/>
          <w:sz w:val="22"/>
          <w:szCs w:val="22"/>
          <w:highlight w:val="none"/>
        </w:rPr>
        <w:t>.3 在供货期间如甲方发现产品存在质量疑问时，乙方须和甲方一起在公开、公正的情况下按现行规范对存在疑问的产品进行取样、封存，并委托由甲方指定的试验检测单位进行检验，试验费用由乙方承担；</w:t>
      </w:r>
    </w:p>
    <w:p w14:paraId="7B33C694">
      <w:pPr>
        <w:autoSpaceDE w:val="0"/>
        <w:autoSpaceDN w:val="0"/>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.质量要求</w:t>
      </w:r>
    </w:p>
    <w:p w14:paraId="5F109F84">
      <w:pPr>
        <w:autoSpaceDE w:val="0"/>
        <w:autoSpaceDN w:val="0"/>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.1质量标准：合同产品的质量、技术要求应满足设计要求以及国家有关部门颁发的最新的国家或专业（部）标准执行。没有国家或专业（部）标准的，按企业标准执行。</w:t>
      </w:r>
    </w:p>
    <w:p w14:paraId="35FBECB8">
      <w:pPr>
        <w:spacing w:beforeLines="50" w:afterLines="50"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第</w:t>
      </w:r>
      <w:r>
        <w:rPr>
          <w:rFonts w:hint="eastAsia" w:ascii="宋体" w:hAnsi="宋体" w:eastAsia="宋体" w:cs="宋体"/>
          <w:b/>
          <w:bCs/>
          <w:color w:val="auto"/>
          <w:sz w:val="22"/>
          <w:szCs w:val="22"/>
          <w:highlight w:val="none"/>
        </w:rPr>
        <w:t>八</w:t>
      </w:r>
      <w:r>
        <w:rPr>
          <w:rFonts w:hint="eastAsia" w:ascii="宋体" w:hAnsi="宋体" w:eastAsia="宋体" w:cs="宋体"/>
          <w:b/>
          <w:bCs/>
          <w:color w:val="auto"/>
          <w:sz w:val="22"/>
          <w:szCs w:val="22"/>
          <w:highlight w:val="none"/>
          <w:lang w:val="en-US" w:eastAsia="zh-CN"/>
        </w:rPr>
        <w:t xml:space="preserve">条 </w:t>
      </w:r>
      <w:r>
        <w:rPr>
          <w:rFonts w:hint="eastAsia" w:ascii="宋体" w:hAnsi="宋体" w:eastAsia="宋体" w:cs="宋体"/>
          <w:b/>
          <w:bCs/>
          <w:color w:val="auto"/>
          <w:sz w:val="22"/>
          <w:szCs w:val="22"/>
          <w:highlight w:val="none"/>
        </w:rPr>
        <w:t>货款支付</w:t>
      </w:r>
    </w:p>
    <w:p w14:paraId="314A4046">
      <w:pPr>
        <w:pStyle w:val="16"/>
        <w:tabs>
          <w:tab w:val="left" w:pos="900"/>
        </w:tabs>
        <w:snapToGrid w:val="0"/>
        <w:spacing w:line="360" w:lineRule="auto"/>
        <w:ind w:firstLine="440" w:firstLineChars="200"/>
        <w:rPr>
          <w:rFonts w:hint="eastAsia" w:ascii="Arial" w:hAnsi="Arial" w:eastAsia="宋体" w:cs="Arial"/>
          <w:bCs/>
          <w:color w:val="auto"/>
          <w:sz w:val="22"/>
          <w:szCs w:val="22"/>
          <w:highlight w:val="none"/>
          <w:lang w:val="en-US" w:eastAsia="zh-CN"/>
        </w:rPr>
      </w:pPr>
      <w:r>
        <w:rPr>
          <w:rFonts w:hint="eastAsia" w:ascii="Arial" w:hAnsi="Arial" w:eastAsia="宋体" w:cs="Arial"/>
          <w:bCs/>
          <w:color w:val="auto"/>
          <w:sz w:val="22"/>
          <w:szCs w:val="22"/>
          <w:highlight w:val="none"/>
          <w:lang w:eastAsia="zh-CN"/>
        </w:rPr>
        <w:t>（</w:t>
      </w:r>
      <w:r>
        <w:rPr>
          <w:rFonts w:hint="eastAsia" w:ascii="Arial" w:hAnsi="Arial" w:eastAsia="宋体" w:cs="Arial"/>
          <w:bCs/>
          <w:color w:val="auto"/>
          <w:sz w:val="22"/>
          <w:szCs w:val="22"/>
          <w:highlight w:val="none"/>
          <w:lang w:val="en-US" w:eastAsia="zh-CN"/>
        </w:rPr>
        <w:t>1</w:t>
      </w:r>
      <w:r>
        <w:rPr>
          <w:rFonts w:hint="eastAsia" w:ascii="Arial" w:hAnsi="Arial" w:eastAsia="宋体" w:cs="Arial"/>
          <w:bCs/>
          <w:color w:val="auto"/>
          <w:sz w:val="22"/>
          <w:szCs w:val="22"/>
          <w:highlight w:val="none"/>
          <w:lang w:eastAsia="zh-CN"/>
        </w:rPr>
        <w:t>）</w:t>
      </w:r>
      <w:r>
        <w:rPr>
          <w:rFonts w:hint="eastAsia" w:ascii="Arial" w:hAnsi="Arial" w:cs="Arial"/>
          <w:bCs/>
          <w:color w:val="auto"/>
          <w:sz w:val="22"/>
          <w:szCs w:val="22"/>
          <w:highlight w:val="none"/>
        </w:rPr>
        <w:t>本项目采取固定单价的形式进行结算，</w:t>
      </w:r>
      <w:r>
        <w:rPr>
          <w:rFonts w:hint="eastAsia" w:ascii="Arial" w:hAnsi="Arial" w:eastAsia="宋体" w:cs="Arial"/>
          <w:bCs/>
          <w:color w:val="auto"/>
          <w:sz w:val="22"/>
          <w:szCs w:val="22"/>
          <w:highlight w:val="none"/>
          <w:lang w:val="en-US" w:eastAsia="zh-CN"/>
        </w:rPr>
        <w:t>按实际供货数量×合同单价，且最终结算金额控制在100万元以内。</w:t>
      </w:r>
    </w:p>
    <w:p w14:paraId="245F1D2E">
      <w:pPr>
        <w:pStyle w:val="16"/>
        <w:tabs>
          <w:tab w:val="left" w:pos="900"/>
        </w:tabs>
        <w:snapToGrid w:val="0"/>
        <w:spacing w:line="360" w:lineRule="auto"/>
        <w:ind w:firstLine="440" w:firstLineChars="200"/>
        <w:rPr>
          <w:rFonts w:ascii="Arial" w:hAnsi="Arial" w:cs="Arial"/>
          <w:bCs/>
          <w:color w:val="auto"/>
          <w:sz w:val="22"/>
          <w:szCs w:val="22"/>
          <w:highlight w:val="none"/>
        </w:rPr>
      </w:pPr>
      <w:r>
        <w:rPr>
          <w:rFonts w:hint="eastAsia" w:ascii="Arial" w:hAnsi="Arial" w:eastAsia="宋体" w:cs="Arial"/>
          <w:bCs/>
          <w:color w:val="auto"/>
          <w:sz w:val="22"/>
          <w:szCs w:val="22"/>
          <w:highlight w:val="none"/>
          <w:lang w:val="en-US" w:eastAsia="zh-CN"/>
        </w:rPr>
        <w:t>（2）采用月结方式支付，</w:t>
      </w:r>
      <w:r>
        <w:rPr>
          <w:rFonts w:hint="eastAsia" w:ascii="Arial" w:hAnsi="Arial" w:cs="Arial"/>
          <w:bCs/>
          <w:color w:val="auto"/>
          <w:sz w:val="22"/>
          <w:szCs w:val="22"/>
          <w:highlight w:val="none"/>
          <w:u w:val="none"/>
        </w:rPr>
        <w:t>乙方需于每月 15 日前（节假日顺延），向甲方</w:t>
      </w:r>
      <w:r>
        <w:rPr>
          <w:rFonts w:hint="eastAsia" w:ascii="Arial" w:hAnsi="Arial" w:cs="Arial"/>
          <w:bCs/>
          <w:color w:val="auto"/>
          <w:sz w:val="22"/>
          <w:szCs w:val="22"/>
          <w:highlight w:val="none"/>
          <w:u w:val="none"/>
          <w:lang w:val="en-US" w:eastAsia="zh-CN"/>
        </w:rPr>
        <w:t>提供</w:t>
      </w:r>
      <w:r>
        <w:rPr>
          <w:rFonts w:hint="eastAsia" w:ascii="Arial" w:hAnsi="Arial" w:cs="Arial"/>
          <w:bCs/>
          <w:color w:val="auto"/>
          <w:sz w:val="22"/>
          <w:szCs w:val="22"/>
          <w:highlight w:val="none"/>
          <w:u w:val="none"/>
        </w:rPr>
        <w:t>上一月</w:t>
      </w:r>
      <w:r>
        <w:rPr>
          <w:rFonts w:hint="eastAsia" w:ascii="Arial" w:hAnsi="Arial" w:cs="Arial"/>
          <w:bCs/>
          <w:color w:val="auto"/>
          <w:sz w:val="22"/>
          <w:szCs w:val="22"/>
          <w:highlight w:val="none"/>
          <w:u w:val="none"/>
          <w:lang w:val="en-US" w:eastAsia="zh-CN"/>
        </w:rPr>
        <w:t>度</w:t>
      </w:r>
      <w:r>
        <w:rPr>
          <w:rFonts w:hint="eastAsia" w:ascii="Arial" w:hAnsi="Arial" w:cs="Arial"/>
          <w:bCs/>
          <w:color w:val="auto"/>
          <w:sz w:val="22"/>
          <w:szCs w:val="22"/>
          <w:highlight w:val="none"/>
          <w:u w:val="none"/>
        </w:rPr>
        <w:t>的</w:t>
      </w:r>
      <w:r>
        <w:rPr>
          <w:rFonts w:hint="eastAsia" w:ascii="Arial" w:hAnsi="Arial" w:eastAsia="宋体" w:cs="Arial"/>
          <w:bCs/>
          <w:color w:val="auto"/>
          <w:sz w:val="22"/>
          <w:szCs w:val="22"/>
          <w:highlight w:val="none"/>
          <w:u w:val="none"/>
          <w:lang w:eastAsia="zh-CN"/>
        </w:rPr>
        <w:t>路基固化土填筑材料</w:t>
      </w:r>
      <w:r>
        <w:rPr>
          <w:rFonts w:hint="eastAsia" w:ascii="Arial" w:hAnsi="Arial" w:cs="Arial"/>
          <w:bCs/>
          <w:color w:val="auto"/>
          <w:sz w:val="22"/>
          <w:szCs w:val="22"/>
          <w:highlight w:val="none"/>
          <w:u w:val="none"/>
        </w:rPr>
        <w:t>供货量</w:t>
      </w:r>
      <w:r>
        <w:rPr>
          <w:rFonts w:hint="eastAsia" w:ascii="Arial" w:hAnsi="Arial" w:cs="Arial"/>
          <w:bCs/>
          <w:color w:val="auto"/>
          <w:sz w:val="22"/>
          <w:szCs w:val="22"/>
          <w:highlight w:val="none"/>
          <w:u w:val="none"/>
          <w:lang w:eastAsia="zh-CN"/>
        </w:rPr>
        <w:t>的</w:t>
      </w:r>
      <w:r>
        <w:rPr>
          <w:rFonts w:hint="eastAsia" w:ascii="Arial" w:hAnsi="Arial" w:cs="Arial"/>
          <w:bCs/>
          <w:color w:val="auto"/>
          <w:sz w:val="22"/>
          <w:szCs w:val="22"/>
          <w:highlight w:val="none"/>
          <w:u w:val="none"/>
          <w:lang w:val="en-US" w:eastAsia="zh-CN"/>
        </w:rPr>
        <w:t>相关资料</w:t>
      </w:r>
      <w:r>
        <w:rPr>
          <w:rFonts w:hint="eastAsia" w:ascii="Arial" w:hAnsi="Arial" w:cs="Arial"/>
          <w:bCs/>
          <w:color w:val="auto"/>
          <w:sz w:val="22"/>
          <w:szCs w:val="22"/>
          <w:highlight w:val="none"/>
          <w:u w:val="none"/>
          <w:lang w:eastAsia="zh-CN"/>
        </w:rPr>
        <w:t>，</w:t>
      </w:r>
      <w:r>
        <w:rPr>
          <w:rFonts w:hint="eastAsia" w:ascii="Arial" w:hAnsi="Arial" w:cs="Arial"/>
          <w:bCs/>
          <w:color w:val="auto"/>
          <w:sz w:val="22"/>
          <w:szCs w:val="22"/>
          <w:highlight w:val="none"/>
          <w:u w:val="none"/>
          <w:lang w:val="en-US" w:eastAsia="zh-CN"/>
        </w:rPr>
        <w:t>并将结款申请及发票原件（全额开具）提交甲方</w:t>
      </w:r>
      <w:r>
        <w:rPr>
          <w:rFonts w:hint="eastAsia" w:ascii="Arial" w:hAnsi="Arial" w:cs="Arial"/>
          <w:bCs/>
          <w:color w:val="auto"/>
          <w:sz w:val="22"/>
          <w:szCs w:val="22"/>
          <w:highlight w:val="none"/>
          <w:u w:val="none"/>
        </w:rPr>
        <w:t>；经甲方审核通过后，于 10 个工作日内，向乙方支付上一月度合格供货金额的80%；待项目整体供货全部完成，且经</w:t>
      </w:r>
      <w:r>
        <w:rPr>
          <w:rFonts w:hint="eastAsia" w:ascii="Arial" w:hAnsi="Arial" w:eastAsia="宋体" w:cs="Arial"/>
          <w:bCs/>
          <w:color w:val="auto"/>
          <w:sz w:val="22"/>
          <w:szCs w:val="22"/>
          <w:highlight w:val="none"/>
          <w:u w:val="none"/>
          <w:lang w:val="en-US" w:eastAsia="zh-CN"/>
        </w:rPr>
        <w:t>路基固化土</w:t>
      </w:r>
      <w:r>
        <w:rPr>
          <w:rFonts w:hint="eastAsia" w:ascii="Arial" w:hAnsi="Arial" w:cs="Arial"/>
          <w:bCs/>
          <w:color w:val="auto"/>
          <w:sz w:val="22"/>
          <w:szCs w:val="22"/>
          <w:highlight w:val="none"/>
          <w:u w:val="none"/>
        </w:rPr>
        <w:t>最终验收合格后，甲方再向乙方支付剩余的货款。</w:t>
      </w:r>
    </w:p>
    <w:p w14:paraId="1CDAB262">
      <w:pPr>
        <w:snapToGrid/>
        <w:spacing w:beforeLines="50" w:afterLines="50"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第</w:t>
      </w:r>
      <w:r>
        <w:rPr>
          <w:rFonts w:hint="eastAsia" w:ascii="宋体" w:hAnsi="宋体" w:eastAsia="宋体" w:cs="宋体"/>
          <w:b/>
          <w:bCs/>
          <w:color w:val="auto"/>
          <w:sz w:val="22"/>
          <w:szCs w:val="22"/>
          <w:highlight w:val="none"/>
        </w:rPr>
        <w:t>九</w:t>
      </w:r>
      <w:r>
        <w:rPr>
          <w:rFonts w:hint="eastAsia" w:ascii="宋体" w:hAnsi="宋体" w:eastAsia="宋体" w:cs="宋体"/>
          <w:b/>
          <w:bCs/>
          <w:color w:val="auto"/>
          <w:sz w:val="22"/>
          <w:szCs w:val="22"/>
          <w:highlight w:val="none"/>
          <w:lang w:val="en-US" w:eastAsia="zh-CN"/>
        </w:rPr>
        <w:t xml:space="preserve">条 </w:t>
      </w:r>
      <w:r>
        <w:rPr>
          <w:rFonts w:hint="eastAsia" w:ascii="宋体" w:hAnsi="宋体" w:eastAsia="宋体" w:cs="宋体"/>
          <w:b/>
          <w:bCs/>
          <w:color w:val="auto"/>
          <w:sz w:val="22"/>
          <w:szCs w:val="22"/>
          <w:highlight w:val="none"/>
        </w:rPr>
        <w:t>税费</w:t>
      </w:r>
    </w:p>
    <w:p w14:paraId="410973B1">
      <w:pPr>
        <w:snapToGrid w:val="0"/>
        <w:spacing w:line="360" w:lineRule="auto"/>
        <w:ind w:firstLine="440" w:firstLineChars="200"/>
        <w:rPr>
          <w:rFonts w:ascii="Arial" w:hAnsi="Arial" w:cs="Arial"/>
          <w:color w:val="auto"/>
          <w:sz w:val="22"/>
          <w:szCs w:val="22"/>
          <w:highlight w:val="none"/>
        </w:rPr>
      </w:pPr>
      <w:r>
        <w:rPr>
          <w:rFonts w:ascii="Arial" w:hAnsi="Arial" w:cs="Arial"/>
          <w:color w:val="auto"/>
          <w:sz w:val="22"/>
          <w:szCs w:val="22"/>
          <w:highlight w:val="none"/>
        </w:rPr>
        <w:t>本合同执行中相关的一切税费均由乙方负担。</w:t>
      </w:r>
    </w:p>
    <w:p w14:paraId="2B4F53BB">
      <w:pPr>
        <w:snapToGrid w:val="0"/>
        <w:spacing w:beforeLines="50" w:afterLines="50"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第</w:t>
      </w:r>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 xml:space="preserve">条 </w:t>
      </w:r>
      <w:r>
        <w:rPr>
          <w:rFonts w:hint="eastAsia" w:ascii="宋体" w:hAnsi="宋体" w:eastAsia="宋体" w:cs="宋体"/>
          <w:b/>
          <w:bCs/>
          <w:color w:val="auto"/>
          <w:sz w:val="22"/>
          <w:szCs w:val="22"/>
          <w:highlight w:val="none"/>
        </w:rPr>
        <w:t>违约责任</w:t>
      </w:r>
    </w:p>
    <w:p w14:paraId="6F40566E">
      <w:pPr>
        <w:pStyle w:val="16"/>
        <w:tabs>
          <w:tab w:val="left" w:pos="900"/>
        </w:tabs>
        <w:snapToGrid w:val="0"/>
        <w:spacing w:line="360" w:lineRule="auto"/>
        <w:ind w:firstLine="440" w:firstLineChars="200"/>
        <w:rPr>
          <w:rFonts w:ascii="Arial" w:hAnsi="Arial" w:cs="Arial"/>
          <w:color w:val="auto"/>
          <w:sz w:val="22"/>
          <w:szCs w:val="22"/>
          <w:highlight w:val="none"/>
        </w:rPr>
      </w:pPr>
      <w:r>
        <w:rPr>
          <w:rFonts w:ascii="Arial" w:hAnsi="Arial" w:cs="Arial"/>
          <w:color w:val="auto"/>
          <w:sz w:val="22"/>
          <w:szCs w:val="22"/>
          <w:highlight w:val="none"/>
        </w:rPr>
        <w:t>1.</w:t>
      </w:r>
      <w:r>
        <w:rPr>
          <w:rFonts w:hint="eastAsia" w:ascii="Arial" w:hAnsi="Arial" w:cs="Arial"/>
          <w:color w:val="auto"/>
          <w:sz w:val="22"/>
          <w:szCs w:val="22"/>
          <w:highlight w:val="none"/>
        </w:rPr>
        <w:t>乙方生产的产品未达到质量要求，对甲方产生的一切损失由乙方承担，并限期整改；整改后质量仍不达标的，甲方有权解除合同，由此对甲方产生的一切损失由乙方承担。</w:t>
      </w:r>
    </w:p>
    <w:p w14:paraId="276EA59C">
      <w:pPr>
        <w:pStyle w:val="16"/>
        <w:tabs>
          <w:tab w:val="left" w:pos="900"/>
        </w:tabs>
        <w:snapToGrid w:val="0"/>
        <w:spacing w:line="360" w:lineRule="auto"/>
        <w:ind w:firstLine="440" w:firstLineChars="200"/>
        <w:rPr>
          <w:rFonts w:ascii="Arial" w:hAnsi="Arial" w:cs="Arial"/>
          <w:color w:val="auto"/>
          <w:sz w:val="22"/>
          <w:szCs w:val="22"/>
          <w:highlight w:val="none"/>
        </w:rPr>
      </w:pPr>
      <w:r>
        <w:rPr>
          <w:rFonts w:hint="eastAsia" w:ascii="Arial" w:hAnsi="Arial" w:cs="Arial"/>
          <w:color w:val="auto"/>
          <w:sz w:val="22"/>
          <w:szCs w:val="22"/>
          <w:highlight w:val="none"/>
          <w:lang w:val="en-US" w:eastAsia="zh-CN"/>
        </w:rPr>
        <w:t>2.</w:t>
      </w:r>
      <w:r>
        <w:rPr>
          <w:rFonts w:hint="eastAsia" w:ascii="Arial" w:hAnsi="Arial" w:cs="Arial"/>
          <w:color w:val="auto"/>
          <w:sz w:val="22"/>
          <w:szCs w:val="22"/>
          <w:highlight w:val="none"/>
        </w:rPr>
        <w:t>乙方向甲方支付</w:t>
      </w:r>
      <w:r>
        <w:rPr>
          <w:rFonts w:hint="eastAsia" w:ascii="Arial" w:hAnsi="Arial" w:cs="Arial"/>
          <w:color w:val="auto"/>
          <w:sz w:val="22"/>
          <w:szCs w:val="22"/>
          <w:highlight w:val="none"/>
          <w:lang w:val="en-US" w:eastAsia="zh-CN"/>
        </w:rPr>
        <w:t>5</w:t>
      </w:r>
      <w:r>
        <w:rPr>
          <w:rFonts w:hint="eastAsia" w:ascii="Arial" w:hAnsi="Arial" w:cs="Arial"/>
          <w:color w:val="auto"/>
          <w:sz w:val="22"/>
          <w:szCs w:val="22"/>
          <w:highlight w:val="none"/>
        </w:rPr>
        <w:t>万元</w:t>
      </w:r>
      <w:r>
        <w:rPr>
          <w:rFonts w:hint="eastAsia" w:ascii="Arial" w:hAnsi="Arial" w:eastAsia="宋体" w:cs="Arial"/>
          <w:color w:val="auto"/>
          <w:sz w:val="22"/>
          <w:szCs w:val="22"/>
          <w:highlight w:val="none"/>
          <w:lang w:val="en-US" w:eastAsia="zh-CN"/>
        </w:rPr>
        <w:t>作为</w:t>
      </w:r>
      <w:r>
        <w:rPr>
          <w:rFonts w:hint="eastAsia" w:ascii="Arial" w:hAnsi="Arial" w:cs="Arial"/>
          <w:color w:val="auto"/>
          <w:sz w:val="22"/>
          <w:szCs w:val="22"/>
          <w:highlight w:val="none"/>
        </w:rPr>
        <w:t>履约保证金（可以采用银行转账、银行保函、保险保函等方式），履约保证金自合同签订之日起至合同期满止有效。如采用保函方式，须为见索即付的银行履约保函。在</w:t>
      </w:r>
      <w:r>
        <w:rPr>
          <w:rFonts w:hint="eastAsia" w:ascii="Arial" w:hAnsi="Arial" w:cs="Arial"/>
          <w:color w:val="auto"/>
          <w:sz w:val="22"/>
          <w:szCs w:val="22"/>
          <w:highlight w:val="none"/>
          <w:lang w:val="en-US" w:eastAsia="zh-CN"/>
        </w:rPr>
        <w:t>合同履行</w:t>
      </w:r>
      <w:r>
        <w:rPr>
          <w:rFonts w:hint="eastAsia" w:ascii="Arial" w:hAnsi="Arial" w:cs="Arial"/>
          <w:color w:val="auto"/>
          <w:sz w:val="22"/>
          <w:szCs w:val="22"/>
          <w:highlight w:val="none"/>
        </w:rPr>
        <w:t>期间，出现违约情况导致履约保证金扣款的，在扣款后5个工作日内补齐履约保证金。</w:t>
      </w:r>
      <w:r>
        <w:rPr>
          <w:rFonts w:hint="eastAsia" w:ascii="Arial" w:hAnsi="Arial" w:cs="Arial"/>
          <w:color w:val="auto"/>
          <w:sz w:val="22"/>
          <w:szCs w:val="22"/>
          <w:highlight w:val="none"/>
          <w:lang w:val="en-US" w:eastAsia="zh-CN"/>
        </w:rPr>
        <w:t>合同期结束后，一次性无息退还履约保证金。</w:t>
      </w:r>
    </w:p>
    <w:p w14:paraId="0E5033A6">
      <w:pPr>
        <w:pStyle w:val="16"/>
        <w:tabs>
          <w:tab w:val="left" w:pos="900"/>
        </w:tabs>
        <w:snapToGrid w:val="0"/>
        <w:spacing w:line="360" w:lineRule="auto"/>
        <w:ind w:firstLine="440" w:firstLineChars="200"/>
        <w:rPr>
          <w:rFonts w:ascii="Arial" w:hAnsi="Arial" w:cs="Arial"/>
          <w:color w:val="auto"/>
          <w:sz w:val="22"/>
          <w:szCs w:val="22"/>
          <w:highlight w:val="none"/>
        </w:rPr>
      </w:pPr>
      <w:r>
        <w:rPr>
          <w:rFonts w:ascii="Arial" w:hAnsi="Arial" w:cs="Arial"/>
          <w:color w:val="auto"/>
          <w:sz w:val="22"/>
          <w:szCs w:val="22"/>
          <w:highlight w:val="none"/>
        </w:rPr>
        <w:t>3.乙方逾期交付货物的，乙方应按逾期交货总额每日千分之五向甲方支付违约金，由甲方从</w:t>
      </w:r>
      <w:r>
        <w:rPr>
          <w:rFonts w:hint="eastAsia" w:ascii="Arial" w:hAnsi="Arial" w:eastAsia="宋体" w:cs="Arial"/>
          <w:color w:val="auto"/>
          <w:sz w:val="22"/>
          <w:szCs w:val="22"/>
          <w:highlight w:val="none"/>
          <w:lang w:val="en-US" w:eastAsia="zh-CN"/>
        </w:rPr>
        <w:t>当期结算款或</w:t>
      </w:r>
      <w:r>
        <w:rPr>
          <w:rFonts w:hint="eastAsia" w:ascii="Arial" w:hAnsi="Arial" w:cs="Arial"/>
          <w:color w:val="auto"/>
          <w:sz w:val="22"/>
          <w:szCs w:val="22"/>
          <w:highlight w:val="none"/>
          <w:lang w:val="en-US" w:eastAsia="zh-CN"/>
        </w:rPr>
        <w:t>履约保证金</w:t>
      </w:r>
      <w:r>
        <w:rPr>
          <w:rFonts w:ascii="Arial" w:hAnsi="Arial" w:cs="Arial"/>
          <w:color w:val="auto"/>
          <w:sz w:val="22"/>
          <w:szCs w:val="22"/>
          <w:highlight w:val="none"/>
        </w:rPr>
        <w:t>中扣除。逾期超过约定日期10个工作日不能交货的，甲方可解除本合同。乙方因逾期交货或因其他违约行为导致甲方解除合同的，乙方应向甲方支付</w:t>
      </w:r>
      <w:r>
        <w:rPr>
          <w:rFonts w:hint="eastAsia" w:ascii="Arial" w:hAnsi="Arial" w:cs="Arial"/>
          <w:color w:val="auto"/>
          <w:sz w:val="22"/>
          <w:szCs w:val="22"/>
          <w:highlight w:val="none"/>
          <w:lang w:val="en-US" w:eastAsia="zh-CN"/>
        </w:rPr>
        <w:t>采购金额</w:t>
      </w:r>
      <w:r>
        <w:rPr>
          <w:rFonts w:ascii="Arial" w:hAnsi="Arial" w:cs="Arial"/>
          <w:color w:val="auto"/>
          <w:sz w:val="22"/>
          <w:szCs w:val="22"/>
          <w:highlight w:val="none"/>
        </w:rPr>
        <w:t xml:space="preserve">5%的违约金，如造成甲方损失超过违约金的，超出部分由乙方继续承担赔偿责任。 </w:t>
      </w:r>
    </w:p>
    <w:p w14:paraId="21DBED46">
      <w:pPr>
        <w:pStyle w:val="16"/>
        <w:tabs>
          <w:tab w:val="left" w:pos="900"/>
        </w:tabs>
        <w:snapToGrid w:val="0"/>
        <w:spacing w:line="360" w:lineRule="auto"/>
        <w:ind w:firstLine="440" w:firstLineChars="200"/>
        <w:rPr>
          <w:rFonts w:ascii="Arial" w:hAnsi="Arial" w:cs="Arial"/>
          <w:color w:val="auto"/>
          <w:sz w:val="22"/>
          <w:szCs w:val="22"/>
          <w:highlight w:val="none"/>
        </w:rPr>
      </w:pPr>
      <w:r>
        <w:rPr>
          <w:rFonts w:ascii="Arial" w:hAnsi="Arial" w:cs="Arial"/>
          <w:color w:val="auto"/>
          <w:sz w:val="22"/>
          <w:szCs w:val="22"/>
          <w:highlight w:val="none"/>
        </w:rPr>
        <w:t>4.乙方所交的货物品种、型号、规格、技术参数、质量不符合合同规定及</w:t>
      </w:r>
      <w:r>
        <w:rPr>
          <w:rFonts w:hint="eastAsia" w:ascii="Arial" w:hAnsi="Arial" w:cs="Arial"/>
          <w:color w:val="auto"/>
          <w:sz w:val="22"/>
          <w:szCs w:val="22"/>
          <w:highlight w:val="none"/>
          <w:lang w:val="en-US" w:eastAsia="zh-CN"/>
        </w:rPr>
        <w:t>比选文件</w:t>
      </w:r>
      <w:r>
        <w:rPr>
          <w:rFonts w:ascii="Arial" w:hAnsi="Arial" w:cs="Arial"/>
          <w:color w:val="auto"/>
          <w:sz w:val="22"/>
          <w:szCs w:val="22"/>
          <w:highlight w:val="none"/>
        </w:rPr>
        <w:t>规定标准的，甲方有权拒收该货物，乙方愿意更换货物但逾期交货的，按乙方逾期交货处理。乙方拒绝更换货物的，甲方可单方面解除合同。</w:t>
      </w:r>
    </w:p>
    <w:p w14:paraId="5F4562FA">
      <w:pPr>
        <w:snapToGrid w:val="0"/>
        <w:spacing w:beforeLines="50" w:afterLines="50"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第</w:t>
      </w:r>
      <w:r>
        <w:rPr>
          <w:rFonts w:hint="eastAsia" w:ascii="宋体" w:hAnsi="宋体" w:eastAsia="宋体" w:cs="宋体"/>
          <w:b/>
          <w:bCs/>
          <w:color w:val="auto"/>
          <w:sz w:val="22"/>
          <w:szCs w:val="22"/>
          <w:highlight w:val="none"/>
        </w:rPr>
        <w:t>十一</w:t>
      </w:r>
      <w:r>
        <w:rPr>
          <w:rFonts w:hint="eastAsia" w:ascii="宋体" w:hAnsi="宋体" w:eastAsia="宋体" w:cs="宋体"/>
          <w:b/>
          <w:bCs/>
          <w:color w:val="auto"/>
          <w:sz w:val="22"/>
          <w:szCs w:val="22"/>
          <w:highlight w:val="none"/>
          <w:lang w:val="en-US" w:eastAsia="zh-CN"/>
        </w:rPr>
        <w:t xml:space="preserve">条 </w:t>
      </w:r>
      <w:r>
        <w:rPr>
          <w:rFonts w:hint="eastAsia" w:ascii="宋体" w:hAnsi="宋体" w:eastAsia="宋体" w:cs="宋体"/>
          <w:b/>
          <w:bCs/>
          <w:color w:val="auto"/>
          <w:sz w:val="22"/>
          <w:szCs w:val="22"/>
          <w:highlight w:val="none"/>
        </w:rPr>
        <w:t>不可抗力</w:t>
      </w:r>
    </w:p>
    <w:p w14:paraId="023AB609">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（一）本合同中的 “不可抗力”应被定义为：任何不能预见、不能避免且不能克服的事件，包括洪水、台风、地震、战争或军事行动、内乱或民众动乱、恐怖主义行动、火灾、爆炸、罢工（双方内部工作人员的罢工除外）等情况以及现行法律法规的更改。</w:t>
      </w:r>
    </w:p>
    <w:p w14:paraId="3C3E60F5">
      <w:pPr>
        <w:pStyle w:val="16"/>
        <w:tabs>
          <w:tab w:val="left" w:pos="900"/>
        </w:tabs>
        <w:snapToGrid w:val="0"/>
        <w:spacing w:line="360" w:lineRule="auto"/>
        <w:ind w:firstLine="440" w:firstLineChars="200"/>
        <w:rPr>
          <w:rFonts w:ascii="Arial" w:hAnsi="Arial" w:cs="Arial"/>
          <w:color w:val="auto"/>
          <w:sz w:val="22"/>
          <w:szCs w:val="22"/>
          <w:highlight w:val="none"/>
        </w:rPr>
      </w:pPr>
      <w:r>
        <w:rPr>
          <w:rFonts w:hint="eastAsia" w:ascii="Arial" w:hAnsi="Arial" w:cs="Arial"/>
          <w:color w:val="auto"/>
          <w:sz w:val="22"/>
          <w:szCs w:val="22"/>
          <w:highlight w:val="none"/>
        </w:rPr>
        <w:t>（二）任何一方因不可抗力因素导致不能继续履行合同或不能按照约定履行合同的，可不承担违约责任，但应立即将不可抗力的情况以书面形式通知对方，提供不可抗力的详情及合同不能履行、或不能如约履行、或需要延期履行的有效证明文件，此证明文件应由不可抗力发生地区的公证机关或由双方认可的单位出具，按其对履行合同的影响程度由双方协商决定解除合同或延期履行。</w:t>
      </w:r>
      <w:r>
        <w:rPr>
          <w:rFonts w:ascii="Arial" w:hAnsi="Arial" w:cs="Arial"/>
          <w:color w:val="auto"/>
          <w:sz w:val="22"/>
          <w:szCs w:val="22"/>
          <w:highlight w:val="none"/>
        </w:rPr>
        <w:t xml:space="preserve"> </w:t>
      </w:r>
    </w:p>
    <w:p w14:paraId="543C1C2A">
      <w:pPr>
        <w:snapToGrid w:val="0"/>
        <w:spacing w:beforeLines="50" w:afterLines="50" w:line="400" w:lineRule="exact"/>
        <w:ind w:firstLineChars="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第</w:t>
      </w:r>
      <w:r>
        <w:rPr>
          <w:rFonts w:hint="eastAsia" w:ascii="宋体" w:hAnsi="宋体" w:eastAsia="宋体" w:cs="宋体"/>
          <w:b/>
          <w:bCs/>
          <w:color w:val="auto"/>
          <w:sz w:val="22"/>
          <w:szCs w:val="22"/>
          <w:highlight w:val="none"/>
        </w:rPr>
        <w:t>十二</w:t>
      </w:r>
      <w:r>
        <w:rPr>
          <w:rFonts w:hint="eastAsia" w:ascii="宋体" w:hAnsi="宋体" w:eastAsia="宋体" w:cs="宋体"/>
          <w:b/>
          <w:bCs/>
          <w:color w:val="auto"/>
          <w:sz w:val="22"/>
          <w:szCs w:val="22"/>
          <w:highlight w:val="none"/>
          <w:lang w:val="en-US" w:eastAsia="zh-CN"/>
        </w:rPr>
        <w:t xml:space="preserve">条 </w:t>
      </w:r>
      <w:r>
        <w:rPr>
          <w:rFonts w:hint="eastAsia" w:ascii="宋体" w:hAnsi="宋体" w:eastAsia="宋体" w:cs="宋体"/>
          <w:b/>
          <w:bCs/>
          <w:color w:val="auto"/>
          <w:sz w:val="22"/>
          <w:szCs w:val="22"/>
          <w:highlight w:val="none"/>
        </w:rPr>
        <w:t>争议解决</w:t>
      </w:r>
    </w:p>
    <w:p w14:paraId="064B0EF0">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（1）凡有关本合同实施或与执行本合同中发生的一切争端，双方应通过友好协商，妥善解决。如通过协商还不能解决，直接向项目所在地人民法院提起诉讼。</w:t>
      </w:r>
    </w:p>
    <w:p w14:paraId="177B31F2">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（2）诉讼文书的送达地址的约定:</w:t>
      </w:r>
    </w:p>
    <w:p w14:paraId="25118937">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甲方联系地址:</w:t>
      </w:r>
    </w:p>
    <w:p w14:paraId="07214AE8">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联系人:</w:t>
      </w:r>
    </w:p>
    <w:p w14:paraId="080B05FD">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联系电话:</w:t>
      </w:r>
    </w:p>
    <w:p w14:paraId="31D2C728">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邮箱:</w:t>
      </w:r>
    </w:p>
    <w:p w14:paraId="253A14C4">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乙方联系地址:</w:t>
      </w:r>
    </w:p>
    <w:p w14:paraId="33281EC9">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联系人:</w:t>
      </w:r>
    </w:p>
    <w:p w14:paraId="1E97BF57">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联系电话:</w:t>
      </w:r>
    </w:p>
    <w:p w14:paraId="02CBB244">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邮箱:</w:t>
      </w:r>
    </w:p>
    <w:p w14:paraId="5BFD752F">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各方一致确认前述地址及联系方式真实有效，作为本协议项下各方送达通知等文件资料，以及司法机关、仲裁委送达各类诉讼文书、法律文书的有效送达地址。任一方变更前述地址、联系方式的，均应在变更发生后的30个工作日内以书面形式通知对方。变更一方未发出变更通知，或另一方在实际收到变更通知前已发出通知的，如另一方系按照原联系方式发出通知，即视为履行通知义务。</w:t>
      </w:r>
    </w:p>
    <w:p w14:paraId="7E0FEA15">
      <w:pPr>
        <w:pStyle w:val="16"/>
        <w:tabs>
          <w:tab w:val="left" w:pos="900"/>
        </w:tabs>
        <w:snapToGrid w:val="0"/>
        <w:spacing w:line="360" w:lineRule="auto"/>
        <w:ind w:firstLine="440" w:firstLineChars="200"/>
        <w:rPr>
          <w:rFonts w:ascii="Arial" w:hAnsi="Arial" w:cs="Arial"/>
          <w:color w:val="auto"/>
          <w:sz w:val="22"/>
          <w:szCs w:val="22"/>
          <w:highlight w:val="none"/>
        </w:rPr>
      </w:pPr>
      <w:r>
        <w:rPr>
          <w:rFonts w:hint="eastAsia" w:ascii="Arial" w:hAnsi="Arial" w:cs="Arial"/>
          <w:color w:val="auto"/>
          <w:sz w:val="22"/>
          <w:szCs w:val="22"/>
          <w:highlight w:val="none"/>
        </w:rPr>
        <w:t>采用直接送达的，送达人当场在送达回证上记明情况之日为送达之日</w:t>
      </w:r>
      <w:r>
        <w:rPr>
          <w:rFonts w:hint="eastAsia" w:ascii="Arial" w:hAnsi="Arial" w:cs="Arial"/>
          <w:color w:val="auto"/>
          <w:sz w:val="22"/>
          <w:szCs w:val="22"/>
          <w:highlight w:val="none"/>
          <w:lang w:eastAsia="zh-CN"/>
        </w:rPr>
        <w:t>：</w:t>
      </w:r>
      <w:r>
        <w:rPr>
          <w:rFonts w:hint="eastAsia" w:ascii="Arial" w:hAnsi="Arial" w:cs="Arial"/>
          <w:color w:val="auto"/>
          <w:sz w:val="22"/>
          <w:szCs w:val="22"/>
          <w:highlight w:val="none"/>
        </w:rPr>
        <w:t>采用邮寄送达的，任一方或司法机关、仲裁委按前述地址交邮，实际签收(含代收）之日为送达之如无人签收或拒收，则邮件被退回之日视为送达之日。</w:t>
      </w:r>
    </w:p>
    <w:p w14:paraId="5F4436F2">
      <w:pPr>
        <w:snapToGrid w:val="0"/>
        <w:spacing w:beforeLines="50" w:afterLines="50"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第</w:t>
      </w:r>
      <w:r>
        <w:rPr>
          <w:rFonts w:hint="eastAsia" w:ascii="宋体" w:hAnsi="宋体" w:eastAsia="宋体" w:cs="宋体"/>
          <w:b/>
          <w:bCs/>
          <w:color w:val="auto"/>
          <w:sz w:val="22"/>
          <w:szCs w:val="22"/>
          <w:highlight w:val="none"/>
        </w:rPr>
        <w:t>十</w:t>
      </w:r>
      <w:r>
        <w:rPr>
          <w:rFonts w:hint="eastAsia" w:ascii="宋体" w:hAnsi="宋体" w:eastAsia="宋体" w:cs="宋体"/>
          <w:b/>
          <w:bCs/>
          <w:color w:val="auto"/>
          <w:sz w:val="22"/>
          <w:szCs w:val="22"/>
          <w:highlight w:val="none"/>
          <w:lang w:val="en-US" w:eastAsia="zh-CN"/>
        </w:rPr>
        <w:t xml:space="preserve">三条 </w:t>
      </w:r>
      <w:r>
        <w:rPr>
          <w:rFonts w:hint="eastAsia" w:ascii="宋体" w:hAnsi="宋体" w:eastAsia="宋体" w:cs="宋体"/>
          <w:b/>
          <w:bCs/>
          <w:color w:val="auto"/>
          <w:sz w:val="22"/>
          <w:szCs w:val="22"/>
          <w:highlight w:val="none"/>
        </w:rPr>
        <w:t>其他</w:t>
      </w:r>
    </w:p>
    <w:p w14:paraId="0F2FE379">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（一）本协议未尽事宜，双方可根据具体情况另行协商达成补充协议，与本合同具有同等法律效力。</w:t>
      </w:r>
    </w:p>
    <w:p w14:paraId="04EE5422">
      <w:pPr>
        <w:pStyle w:val="16"/>
        <w:tabs>
          <w:tab w:val="left" w:pos="900"/>
        </w:tabs>
        <w:snapToGrid w:val="0"/>
        <w:spacing w:line="360" w:lineRule="auto"/>
        <w:ind w:firstLine="440" w:firstLineChars="200"/>
        <w:rPr>
          <w:rFonts w:hint="eastAsia" w:ascii="Arial" w:hAnsi="Arial" w:cs="Arial"/>
          <w:color w:val="auto"/>
          <w:sz w:val="22"/>
          <w:szCs w:val="22"/>
          <w:highlight w:val="none"/>
        </w:rPr>
      </w:pPr>
      <w:r>
        <w:rPr>
          <w:rFonts w:hint="eastAsia" w:ascii="Arial" w:hAnsi="Arial" w:cs="Arial"/>
          <w:color w:val="auto"/>
          <w:sz w:val="22"/>
          <w:szCs w:val="22"/>
          <w:highlight w:val="none"/>
        </w:rPr>
        <w:t>（二）本协议一式肆份，双方各执贰份，经双方法定代表人或法定授权人签字并加盖公章（或合同章）后生效。</w:t>
      </w:r>
    </w:p>
    <w:p w14:paraId="1A00C490">
      <w:pPr>
        <w:pStyle w:val="16"/>
        <w:tabs>
          <w:tab w:val="left" w:pos="900"/>
        </w:tabs>
        <w:snapToGrid w:val="0"/>
        <w:spacing w:line="360" w:lineRule="auto"/>
        <w:ind w:firstLine="440" w:firstLineChars="200"/>
        <w:rPr>
          <w:rFonts w:ascii="Arial" w:hAnsi="Arial" w:cs="Arial"/>
          <w:color w:val="auto"/>
          <w:sz w:val="22"/>
          <w:szCs w:val="22"/>
          <w:highlight w:val="none"/>
        </w:rPr>
      </w:pPr>
    </w:p>
    <w:p w14:paraId="48C89019">
      <w:pPr>
        <w:pStyle w:val="16"/>
        <w:tabs>
          <w:tab w:val="left" w:pos="900"/>
        </w:tabs>
        <w:snapToGrid w:val="0"/>
        <w:spacing w:line="360" w:lineRule="auto"/>
        <w:ind w:left="440" w:hanging="440" w:hangingChars="200"/>
        <w:rPr>
          <w:rFonts w:hint="eastAsia" w:ascii="Arial" w:hAnsi="Arial" w:cs="Arial"/>
          <w:color w:val="auto"/>
          <w:sz w:val="22"/>
          <w:szCs w:val="22"/>
          <w:highlight w:val="none"/>
        </w:rPr>
      </w:pPr>
      <w:r>
        <w:rPr>
          <w:rFonts w:ascii="Arial" w:hAnsi="Arial" w:cs="Arial"/>
          <w:color w:val="auto"/>
          <w:sz w:val="22"/>
          <w:szCs w:val="22"/>
          <w:highlight w:val="none"/>
        </w:rPr>
        <w:t xml:space="preserve">  </w:t>
      </w:r>
      <w:r>
        <w:rPr>
          <w:rFonts w:hint="eastAsia" w:ascii="Arial" w:hAnsi="Arial" w:cs="Arial"/>
          <w:color w:val="auto"/>
          <w:sz w:val="22"/>
          <w:szCs w:val="22"/>
          <w:highlight w:val="none"/>
        </w:rPr>
        <w:t>甲方盖章（委托方）：                     乙方盖章（受托方）：</w:t>
      </w:r>
    </w:p>
    <w:p w14:paraId="78A813F1">
      <w:pPr>
        <w:spacing w:line="400" w:lineRule="exact"/>
        <w:rPr>
          <w:rFonts w:hint="default" w:ascii="Arial" w:hAnsi="Arial" w:eastAsia="宋体" w:cs="Arial"/>
          <w:color w:val="auto"/>
          <w:sz w:val="22"/>
          <w:szCs w:val="22"/>
          <w:highlight w:val="none"/>
          <w:lang w:val="en-US" w:eastAsia="zh-CN"/>
        </w:rPr>
      </w:pPr>
      <w:r>
        <w:rPr>
          <w:rFonts w:hint="eastAsia" w:ascii="Arial" w:hAnsi="Arial" w:cs="Arial"/>
          <w:color w:val="auto"/>
          <w:sz w:val="22"/>
          <w:szCs w:val="22"/>
          <w:highlight w:val="none"/>
        </w:rPr>
        <w:t>法人代表或授权代表（签字或盖章）：        法人代表或授权代表（签字或盖章）：</w:t>
      </w:r>
      <w:r>
        <w:rPr>
          <w:rFonts w:hint="eastAsia" w:ascii="Arial" w:hAnsi="Arial" w:cs="Arial"/>
          <w:color w:val="auto"/>
          <w:sz w:val="22"/>
          <w:szCs w:val="22"/>
          <w:highlight w:val="none"/>
          <w:lang w:val="en-US" w:eastAsia="zh-CN"/>
        </w:rPr>
        <w:t xml:space="preserve">  </w:t>
      </w:r>
    </w:p>
    <w:p w14:paraId="061292FD">
      <w:pPr>
        <w:spacing w:beforeLines="150" w:line="360" w:lineRule="auto"/>
        <w:ind w:right="203" w:firstLine="660" w:firstLineChars="300"/>
        <w:rPr>
          <w:rFonts w:hint="eastAsia" w:ascii="宋体" w:hAnsi="宋体" w:eastAsia="宋体" w:cs="宋体"/>
          <w:color w:val="auto"/>
          <w:spacing w:val="9"/>
          <w:sz w:val="22"/>
          <w:highlight w:val="none"/>
        </w:rPr>
      </w:pPr>
      <w:r>
        <w:rPr>
          <w:rFonts w:hint="eastAsia" w:ascii="宋体" w:hAnsi="宋体" w:eastAsia="宋体" w:cs="宋体"/>
          <w:b w:val="0"/>
          <w:bCs w:val="0"/>
          <w:color w:val="auto"/>
          <w:sz w:val="22"/>
          <w:highlight w:val="none"/>
          <w:lang w:val="en-US" w:eastAsia="zh-CN"/>
        </w:rPr>
        <w:t>年   月  日                            年  月   日</w:t>
      </w:r>
    </w:p>
    <w:p w14:paraId="4B8EC253">
      <w:pPr>
        <w:jc w:val="center"/>
        <w:rPr>
          <w:color w:val="auto"/>
          <w:highlight w:val="none"/>
        </w:rPr>
        <w:sectPr>
          <w:headerReference r:id="rId8" w:type="default"/>
          <w:footerReference r:id="rId9" w:type="default"/>
          <w:pgSz w:w="11906" w:h="16838"/>
          <w:pgMar w:top="1134" w:right="1134" w:bottom="1134" w:left="1134" w:header="851" w:footer="851" w:gutter="0"/>
          <w:pgNumType w:fmt="decimal"/>
          <w:cols w:space="720" w:num="1"/>
          <w:docGrid w:linePitch="316" w:charSpace="855"/>
        </w:sectPr>
      </w:pPr>
    </w:p>
    <w:p w14:paraId="1A2D7ABF">
      <w:pPr>
        <w:keepNext/>
        <w:overflowPunct w:val="0"/>
        <w:jc w:val="center"/>
        <w:outlineLvl w:val="0"/>
        <w:rPr>
          <w:rFonts w:ascii="宋体" w:hAnsi="宋体" w:eastAsia="宋体" w:cs="宋体"/>
          <w:b/>
          <w:bCs/>
          <w:color w:val="auto"/>
          <w:kern w:val="0"/>
          <w:sz w:val="36"/>
          <w:szCs w:val="36"/>
          <w:highlight w:val="none"/>
          <w:lang w:val="zh-CN"/>
        </w:rPr>
      </w:pPr>
      <w:r>
        <w:rPr>
          <w:rFonts w:hint="eastAsia" w:ascii="宋体" w:hAnsi="宋体" w:eastAsia="宋体" w:cs="宋体"/>
          <w:b/>
          <w:bCs/>
          <w:color w:val="auto"/>
          <w:kern w:val="0"/>
          <w:sz w:val="36"/>
          <w:szCs w:val="36"/>
          <w:highlight w:val="none"/>
          <w:lang w:val="zh-CN"/>
        </w:rPr>
        <w:t>第四</w:t>
      </w:r>
      <w:r>
        <w:rPr>
          <w:rFonts w:hint="eastAsia" w:ascii="宋体" w:hAnsi="宋体" w:eastAsia="宋体" w:cs="宋体"/>
          <w:b/>
          <w:bCs/>
          <w:color w:val="auto"/>
          <w:kern w:val="0"/>
          <w:sz w:val="36"/>
          <w:szCs w:val="36"/>
          <w:highlight w:val="none"/>
          <w:lang w:val="en-US" w:eastAsia="zh-CN"/>
        </w:rPr>
        <w:t>章</w:t>
      </w:r>
      <w:r>
        <w:rPr>
          <w:rFonts w:hint="eastAsia" w:ascii="宋体" w:hAnsi="宋体" w:eastAsia="宋体" w:cs="宋体"/>
          <w:b/>
          <w:bCs/>
          <w:color w:val="auto"/>
          <w:kern w:val="0"/>
          <w:sz w:val="36"/>
          <w:szCs w:val="36"/>
          <w:highlight w:val="none"/>
          <w:lang w:val="zh-CN"/>
        </w:rPr>
        <w:t xml:space="preserve">  采购人要求</w:t>
      </w:r>
    </w:p>
    <w:p w14:paraId="231CFB23">
      <w:pPr>
        <w:widowControl w:val="0"/>
        <w:wordWrap/>
        <w:adjustRightInd/>
        <w:snapToGrid/>
        <w:spacing w:beforeLines="50" w:afterLines="50"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黑体" w:hAnsi="黑体" w:eastAsia="黑体" w:cs="黑体"/>
          <w:color w:val="auto"/>
          <w:spacing w:val="6"/>
          <w:sz w:val="22"/>
          <w:highlight w:val="none"/>
        </w:rPr>
        <w:t>一、项目概况：</w:t>
      </w:r>
    </w:p>
    <w:p w14:paraId="3F50811C">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本项目位于浙江温州海洋经济发展示范区。</w:t>
      </w:r>
    </w:p>
    <w:p w14:paraId="4FF43529">
      <w:pPr>
        <w:widowControl w:val="0"/>
        <w:wordWrap/>
        <w:adjustRightInd/>
        <w:snapToGrid/>
        <w:spacing w:beforeLines="50" w:afterLines="50" w:line="400" w:lineRule="exact"/>
        <w:ind w:left="17" w:leftChars="8" w:right="96" w:firstLine="399" w:firstLineChars="172"/>
        <w:textAlignment w:val="auto"/>
        <w:outlineLvl w:val="9"/>
        <w:rPr>
          <w:rFonts w:hint="eastAsia" w:ascii="黑体" w:hAnsi="黑体" w:eastAsia="黑体" w:cs="黑体"/>
          <w:color w:val="auto"/>
          <w:spacing w:val="6"/>
          <w:sz w:val="22"/>
          <w:highlight w:val="none"/>
        </w:rPr>
      </w:pPr>
      <w:r>
        <w:rPr>
          <w:rFonts w:hint="eastAsia" w:ascii="黑体" w:hAnsi="黑体" w:eastAsia="黑体" w:cs="黑体"/>
          <w:color w:val="auto"/>
          <w:spacing w:val="6"/>
          <w:sz w:val="22"/>
          <w:highlight w:val="none"/>
          <w:lang w:val="en-US" w:eastAsia="zh-CN"/>
        </w:rPr>
        <w:t>二</w:t>
      </w:r>
      <w:r>
        <w:rPr>
          <w:rFonts w:hint="eastAsia" w:ascii="黑体" w:hAnsi="黑体" w:eastAsia="黑体" w:cs="黑体"/>
          <w:color w:val="auto"/>
          <w:spacing w:val="6"/>
          <w:sz w:val="22"/>
          <w:highlight w:val="none"/>
        </w:rPr>
        <w:t>、</w:t>
      </w:r>
      <w:r>
        <w:rPr>
          <w:rFonts w:hint="eastAsia" w:ascii="黑体" w:hAnsi="黑体" w:eastAsia="黑体" w:cs="黑体"/>
          <w:color w:val="auto"/>
          <w:spacing w:val="6"/>
          <w:sz w:val="22"/>
          <w:highlight w:val="none"/>
          <w:lang w:val="en-US" w:eastAsia="zh-CN"/>
        </w:rPr>
        <w:t>采购内容</w:t>
      </w:r>
      <w:r>
        <w:rPr>
          <w:rFonts w:hint="eastAsia" w:ascii="黑体" w:hAnsi="黑体" w:eastAsia="黑体" w:cs="黑体"/>
          <w:color w:val="auto"/>
          <w:spacing w:val="6"/>
          <w:sz w:val="22"/>
          <w:highlight w:val="none"/>
        </w:rPr>
        <w:t>：</w:t>
      </w:r>
    </w:p>
    <w:tbl>
      <w:tblPr>
        <w:tblStyle w:val="11"/>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2683"/>
        <w:gridCol w:w="1963"/>
        <w:gridCol w:w="3178"/>
      </w:tblGrid>
      <w:tr w14:paraId="6261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18" w:type="dxa"/>
            <w:vAlign w:val="center"/>
          </w:tcPr>
          <w:p w14:paraId="1B5280E4">
            <w:pPr>
              <w:pStyle w:val="16"/>
              <w:spacing w:before="120" w:after="12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2683" w:type="dxa"/>
            <w:vAlign w:val="center"/>
          </w:tcPr>
          <w:p w14:paraId="13DE4C54">
            <w:pPr>
              <w:pStyle w:val="16"/>
              <w:spacing w:before="120" w:after="120"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采购金额</w:t>
            </w:r>
          </w:p>
        </w:tc>
        <w:tc>
          <w:tcPr>
            <w:tcW w:w="1963" w:type="dxa"/>
            <w:vAlign w:val="center"/>
          </w:tcPr>
          <w:p w14:paraId="14D943DA">
            <w:pPr>
              <w:pStyle w:val="16"/>
              <w:spacing w:before="120" w:after="120"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合同期限</w:t>
            </w:r>
          </w:p>
        </w:tc>
        <w:tc>
          <w:tcPr>
            <w:tcW w:w="3178" w:type="dxa"/>
            <w:vAlign w:val="center"/>
          </w:tcPr>
          <w:p w14:paraId="228E53BB">
            <w:pPr>
              <w:pStyle w:val="16"/>
              <w:spacing w:before="120" w:after="12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1123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018" w:type="dxa"/>
            <w:vAlign w:val="center"/>
          </w:tcPr>
          <w:p w14:paraId="2BEE1F16">
            <w:pPr>
              <w:pStyle w:val="16"/>
              <w:spacing w:before="120" w:after="12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温州市海宸技术开发有限公司路基填筑材料采购</w:t>
            </w:r>
          </w:p>
        </w:tc>
        <w:tc>
          <w:tcPr>
            <w:tcW w:w="2683" w:type="dxa"/>
            <w:vAlign w:val="center"/>
          </w:tcPr>
          <w:p w14:paraId="147C5309">
            <w:pPr>
              <w:pStyle w:val="16"/>
              <w:spacing w:before="120" w:after="120"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100万元以内</w:t>
            </w:r>
          </w:p>
        </w:tc>
        <w:tc>
          <w:tcPr>
            <w:tcW w:w="1963" w:type="dxa"/>
            <w:vAlign w:val="center"/>
          </w:tcPr>
          <w:p w14:paraId="22B1971C">
            <w:pPr>
              <w:pStyle w:val="16"/>
              <w:spacing w:before="120" w:after="120"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一年</w:t>
            </w:r>
          </w:p>
        </w:tc>
        <w:tc>
          <w:tcPr>
            <w:tcW w:w="3178" w:type="dxa"/>
            <w:vAlign w:val="center"/>
          </w:tcPr>
          <w:p w14:paraId="06BE6870">
            <w:pPr>
              <w:pStyle w:val="16"/>
              <w:spacing w:before="120" w:after="120" w:line="40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合同期满或合同总价达采购金额，任一条件达到即视为合作期结束。</w:t>
            </w:r>
          </w:p>
        </w:tc>
      </w:tr>
    </w:tbl>
    <w:p w14:paraId="46A2836C">
      <w:pPr>
        <w:widowControl w:val="0"/>
        <w:wordWrap/>
        <w:adjustRightInd/>
        <w:snapToGrid/>
        <w:spacing w:beforeLines="50" w:afterLines="50" w:line="400" w:lineRule="exact"/>
        <w:ind w:left="17" w:leftChars="8" w:right="96" w:firstLine="399" w:firstLineChars="172"/>
        <w:textAlignment w:val="auto"/>
        <w:outlineLvl w:val="9"/>
        <w:rPr>
          <w:rFonts w:hint="eastAsia" w:ascii="黑体" w:hAnsi="黑体" w:eastAsia="黑体" w:cs="黑体"/>
          <w:color w:val="auto"/>
          <w:spacing w:val="6"/>
          <w:sz w:val="22"/>
          <w:highlight w:val="none"/>
          <w:lang w:val="en-US" w:eastAsia="zh-CN"/>
        </w:rPr>
      </w:pPr>
      <w:r>
        <w:rPr>
          <w:rFonts w:hint="eastAsia" w:ascii="黑体" w:hAnsi="黑体" w:eastAsia="黑体" w:cs="黑体"/>
          <w:color w:val="auto"/>
          <w:spacing w:val="6"/>
          <w:sz w:val="22"/>
          <w:highlight w:val="none"/>
          <w:lang w:val="en-US" w:eastAsia="zh-CN"/>
        </w:rPr>
        <w:t>三、质量要求</w:t>
      </w:r>
    </w:p>
    <w:p w14:paraId="535958D1">
      <w:pPr>
        <w:spacing w:line="400" w:lineRule="exact"/>
        <w:ind w:firstLine="495" w:firstLineChars="22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必须保证所供产品的质量技术标准符合下表要求。履约期间若出现新的国家标准更新，则以更新后的国家标准为准。</w:t>
      </w:r>
    </w:p>
    <w:tbl>
      <w:tblPr>
        <w:tblStyle w:val="11"/>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902"/>
        <w:gridCol w:w="5127"/>
      </w:tblGrid>
      <w:tr w14:paraId="02CB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3" w:type="dxa"/>
            <w:vAlign w:val="center"/>
          </w:tcPr>
          <w:p w14:paraId="7ECF4EFC">
            <w:pPr>
              <w:pStyle w:val="16"/>
              <w:spacing w:before="120" w:after="12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902" w:type="dxa"/>
            <w:vAlign w:val="center"/>
          </w:tcPr>
          <w:p w14:paraId="5768470B">
            <w:pPr>
              <w:pStyle w:val="16"/>
              <w:spacing w:before="120" w:after="12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采购内容</w:t>
            </w:r>
          </w:p>
        </w:tc>
        <w:tc>
          <w:tcPr>
            <w:tcW w:w="5127" w:type="dxa"/>
            <w:vAlign w:val="center"/>
          </w:tcPr>
          <w:p w14:paraId="70CD9EF2">
            <w:pPr>
              <w:pStyle w:val="16"/>
              <w:spacing w:before="120" w:after="12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技术要求</w:t>
            </w:r>
          </w:p>
        </w:tc>
      </w:tr>
      <w:tr w14:paraId="349A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3" w:type="dxa"/>
            <w:vAlign w:val="center"/>
          </w:tcPr>
          <w:p w14:paraId="3CBC0AB6">
            <w:pPr>
              <w:pStyle w:val="16"/>
              <w:spacing w:before="120" w:after="12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902" w:type="dxa"/>
            <w:vAlign w:val="center"/>
          </w:tcPr>
          <w:p w14:paraId="1D183D39">
            <w:pPr>
              <w:pStyle w:val="16"/>
              <w:spacing w:before="120" w:after="12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路基固化土填筑材料</w:t>
            </w:r>
          </w:p>
        </w:tc>
        <w:tc>
          <w:tcPr>
            <w:tcW w:w="5127" w:type="dxa"/>
            <w:vAlign w:val="center"/>
          </w:tcPr>
          <w:p w14:paraId="22476B71">
            <w:pPr>
              <w:pStyle w:val="16"/>
              <w:spacing w:before="120" w:after="120"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以满足项目的设计要求及相关规范规定为准</w:t>
            </w:r>
          </w:p>
        </w:tc>
      </w:tr>
    </w:tbl>
    <w:p w14:paraId="4F3C7F2F">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p w14:paraId="3FA1C52F">
      <w:pPr>
        <w:snapToGrid w:val="0"/>
        <w:spacing w:line="40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1）单价合同。采购人按计量单位“吨”进行结算。</w:t>
      </w:r>
      <w:r>
        <w:rPr>
          <w:rFonts w:hint="eastAsia" w:ascii="宋体" w:hAnsi="宋体" w:eastAsia="宋体" w:cs="宋体"/>
          <w:color w:val="auto"/>
          <w:sz w:val="22"/>
          <w:szCs w:val="22"/>
          <w:highlight w:val="none"/>
          <w:lang w:val="en-US" w:eastAsia="zh-CN"/>
        </w:rPr>
        <w:t>按实结算，具体详见“第三章 合同格式”。</w:t>
      </w:r>
    </w:p>
    <w:p w14:paraId="4F207925">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2）上表材料单价均含运输车辆、运输费用、合理利润、税金及依照有关法规涉及的保障费用等为完成本项目服务可能发生的全部费用。供应商应根据</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文件的要求及自身情况考虑风险，自主报价。</w:t>
      </w:r>
    </w:p>
    <w:p w14:paraId="2713465D">
      <w:pPr>
        <w:widowControl w:val="0"/>
        <w:wordWrap/>
        <w:adjustRightInd/>
        <w:snapToGrid/>
        <w:spacing w:line="400" w:lineRule="exact"/>
        <w:ind w:left="17" w:leftChars="8" w:right="96" w:firstLine="378" w:firstLineChars="172"/>
        <w:textAlignment w:val="auto"/>
        <w:outlineLvl w:val="9"/>
        <w:rPr>
          <w:rFonts w:hint="eastAsia" w:ascii="宋体" w:hAnsi="宋体" w:eastAsia="宋体" w:cs="宋体"/>
          <w:color w:val="auto"/>
          <w:spacing w:val="6"/>
          <w:sz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路基固化土填筑材料</w:t>
      </w:r>
      <w:r>
        <w:rPr>
          <w:rFonts w:hint="eastAsia" w:ascii="宋体" w:hAnsi="宋体" w:eastAsia="宋体" w:cs="宋体"/>
          <w:color w:val="auto"/>
          <w:sz w:val="22"/>
          <w:szCs w:val="22"/>
          <w:highlight w:val="none"/>
        </w:rPr>
        <w:t>主要检验标准：符合国家标准、行业标准及设计标准。</w:t>
      </w:r>
    </w:p>
    <w:p w14:paraId="5E6F8CF5">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lang w:val="en-US" w:eastAsia="zh-CN"/>
        </w:rPr>
        <w:t>（1）供货要求</w:t>
      </w:r>
    </w:p>
    <w:p w14:paraId="48695703">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1.供货周期：</w:t>
      </w:r>
      <w:r>
        <w:rPr>
          <w:rFonts w:hint="eastAsia" w:ascii="宋体" w:hAnsi="宋体" w:eastAsia="宋体" w:cs="宋体"/>
          <w:color w:val="auto"/>
          <w:spacing w:val="6"/>
          <w:sz w:val="22"/>
          <w:highlight w:val="none"/>
        </w:rPr>
        <w:t>本项目为分批次供货，</w:t>
      </w:r>
      <w:r>
        <w:rPr>
          <w:rFonts w:hint="eastAsia" w:ascii="宋体" w:hAnsi="宋体" w:eastAsia="宋体" w:cs="宋体"/>
          <w:color w:val="auto"/>
          <w:spacing w:val="6"/>
          <w:sz w:val="22"/>
          <w:highlight w:val="none"/>
          <w:lang w:val="en-US" w:eastAsia="zh-CN"/>
        </w:rPr>
        <w:t>供应商</w:t>
      </w:r>
      <w:r>
        <w:rPr>
          <w:rFonts w:hint="eastAsia" w:ascii="宋体" w:hAnsi="宋体" w:eastAsia="宋体" w:cs="宋体"/>
          <w:color w:val="auto"/>
          <w:spacing w:val="6"/>
          <w:sz w:val="22"/>
          <w:highlight w:val="none"/>
        </w:rPr>
        <w:t>在接到</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订单后一周内完成供货；</w:t>
      </w:r>
    </w:p>
    <w:p w14:paraId="2DD760A6">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2.运输及费用：供应商负责办理运输和保险，将材料运抵</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工地现场，并负责到场卸货。材料运输费、保险费及装卸费已包含在材料单价中，</w:t>
      </w:r>
      <w:r>
        <w:rPr>
          <w:rFonts w:hint="eastAsia" w:ascii="宋体" w:hAnsi="宋体" w:eastAsia="宋体" w:cs="宋体"/>
          <w:color w:val="auto"/>
          <w:spacing w:val="6"/>
          <w:sz w:val="22"/>
          <w:highlight w:val="none"/>
          <w:lang w:val="en-US" w:eastAsia="zh-CN"/>
        </w:rPr>
        <w:t>供应商</w:t>
      </w:r>
      <w:r>
        <w:rPr>
          <w:rFonts w:hint="eastAsia" w:ascii="宋体" w:hAnsi="宋体" w:eastAsia="宋体" w:cs="宋体"/>
          <w:color w:val="auto"/>
          <w:spacing w:val="6"/>
          <w:sz w:val="22"/>
          <w:highlight w:val="none"/>
        </w:rPr>
        <w:t>不得以单次供货数量少为由要求增加运费；</w:t>
      </w:r>
    </w:p>
    <w:p w14:paraId="4B0B7175">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3.</w:t>
      </w:r>
      <w:r>
        <w:rPr>
          <w:rFonts w:hint="eastAsia" w:ascii="宋体" w:hAnsi="宋体" w:eastAsia="宋体" w:cs="宋体"/>
          <w:color w:val="auto"/>
          <w:spacing w:val="6"/>
          <w:sz w:val="22"/>
          <w:highlight w:val="none"/>
          <w:lang w:val="en-US" w:eastAsia="zh-CN"/>
        </w:rPr>
        <w:t>供应商</w:t>
      </w:r>
      <w:r>
        <w:rPr>
          <w:rFonts w:hint="eastAsia" w:ascii="宋体" w:hAnsi="宋体" w:eastAsia="宋体" w:cs="宋体"/>
          <w:color w:val="auto"/>
          <w:spacing w:val="6"/>
          <w:sz w:val="22"/>
          <w:highlight w:val="none"/>
        </w:rPr>
        <w:t>须具有相应的运输车辆，保证运输的及时性；并指定专人作为本项目负责人，负责货物运输安排的协调工作，同时保障与</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之间的沟通及时性；</w:t>
      </w:r>
    </w:p>
    <w:p w14:paraId="0BF089EE">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4.材料交货时</w:t>
      </w:r>
      <w:r>
        <w:rPr>
          <w:rFonts w:hint="eastAsia" w:ascii="宋体" w:hAnsi="宋体" w:eastAsia="宋体" w:cs="宋体"/>
          <w:color w:val="auto"/>
          <w:spacing w:val="6"/>
          <w:sz w:val="22"/>
          <w:highlight w:val="none"/>
          <w:lang w:val="en-US" w:eastAsia="zh-CN"/>
        </w:rPr>
        <w:t>供应商</w:t>
      </w:r>
      <w:r>
        <w:rPr>
          <w:rFonts w:hint="eastAsia" w:ascii="宋体" w:hAnsi="宋体" w:eastAsia="宋体" w:cs="宋体"/>
          <w:color w:val="auto"/>
          <w:spacing w:val="6"/>
          <w:sz w:val="22"/>
          <w:highlight w:val="none"/>
        </w:rPr>
        <w:t>须提供下列技术资料和文件：产品合格证或检测报告单、材料专用清单、</w:t>
      </w:r>
      <w:r>
        <w:rPr>
          <w:rFonts w:hint="eastAsia" w:ascii="宋体" w:hAnsi="宋体" w:eastAsia="宋体" w:cs="宋体"/>
          <w:color w:val="auto"/>
          <w:spacing w:val="6"/>
          <w:sz w:val="22"/>
          <w:highlight w:val="none"/>
          <w:lang w:val="en-US" w:eastAsia="zh-CN"/>
        </w:rPr>
        <w:t>供应商</w:t>
      </w:r>
      <w:r>
        <w:rPr>
          <w:rFonts w:hint="eastAsia" w:ascii="宋体" w:hAnsi="宋体" w:eastAsia="宋体" w:cs="宋体"/>
          <w:color w:val="auto"/>
          <w:spacing w:val="6"/>
          <w:sz w:val="22"/>
          <w:highlight w:val="none"/>
        </w:rPr>
        <w:t>和</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认为有必要提供的其它文件和技术资料；</w:t>
      </w:r>
    </w:p>
    <w:p w14:paraId="4D2514D8">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5.供应商将</w:t>
      </w:r>
      <w:r>
        <w:rPr>
          <w:rFonts w:hint="eastAsia" w:ascii="宋体" w:hAnsi="宋体" w:cs="宋体"/>
          <w:color w:val="auto"/>
          <w:spacing w:val="6"/>
          <w:sz w:val="22"/>
          <w:highlight w:val="none"/>
          <w:lang w:eastAsia="zh-CN"/>
        </w:rPr>
        <w:t>路基固化土填筑材料</w:t>
      </w:r>
      <w:r>
        <w:rPr>
          <w:rFonts w:hint="eastAsia" w:ascii="宋体" w:hAnsi="宋体" w:eastAsia="宋体" w:cs="宋体"/>
          <w:color w:val="auto"/>
          <w:spacing w:val="6"/>
          <w:sz w:val="22"/>
          <w:highlight w:val="none"/>
        </w:rPr>
        <w:t>运至</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指定地点后，由</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和供应商双方对每一批次的</w:t>
      </w:r>
      <w:r>
        <w:rPr>
          <w:rFonts w:hint="eastAsia" w:ascii="宋体" w:hAnsi="宋体" w:cs="宋体"/>
          <w:color w:val="auto"/>
          <w:spacing w:val="6"/>
          <w:sz w:val="22"/>
          <w:highlight w:val="none"/>
          <w:lang w:eastAsia="zh-CN"/>
        </w:rPr>
        <w:t>路基固化土填筑材料</w:t>
      </w:r>
      <w:r>
        <w:rPr>
          <w:rFonts w:hint="eastAsia" w:ascii="宋体" w:hAnsi="宋体" w:eastAsia="宋体" w:cs="宋体"/>
          <w:color w:val="auto"/>
          <w:spacing w:val="6"/>
          <w:sz w:val="22"/>
          <w:highlight w:val="none"/>
        </w:rPr>
        <w:t>共同</w:t>
      </w:r>
      <w:r>
        <w:rPr>
          <w:rFonts w:hint="eastAsia" w:ascii="宋体" w:hAnsi="宋体" w:cs="宋体"/>
          <w:color w:val="auto"/>
          <w:spacing w:val="6"/>
          <w:sz w:val="22"/>
          <w:highlight w:val="none"/>
          <w:lang w:val="en-US" w:eastAsia="zh-CN"/>
        </w:rPr>
        <w:t>取样</w:t>
      </w:r>
      <w:r>
        <w:rPr>
          <w:rFonts w:hint="eastAsia" w:ascii="宋体" w:hAnsi="宋体" w:eastAsia="宋体" w:cs="宋体"/>
          <w:color w:val="auto"/>
          <w:spacing w:val="6"/>
          <w:sz w:val="22"/>
          <w:highlight w:val="none"/>
        </w:rPr>
        <w:t>委托第三方检验检测</w:t>
      </w:r>
      <w:r>
        <w:rPr>
          <w:rFonts w:hint="eastAsia" w:ascii="宋体" w:hAnsi="宋体" w:cs="宋体"/>
          <w:color w:val="auto"/>
          <w:spacing w:val="6"/>
          <w:sz w:val="22"/>
          <w:highlight w:val="none"/>
          <w:lang w:val="en-US" w:eastAsia="zh-CN"/>
        </w:rPr>
        <w:t>单位</w:t>
      </w:r>
      <w:r>
        <w:rPr>
          <w:rFonts w:hint="eastAsia" w:ascii="宋体" w:hAnsi="宋体" w:eastAsia="宋体" w:cs="宋体"/>
          <w:color w:val="auto"/>
          <w:spacing w:val="6"/>
          <w:sz w:val="22"/>
          <w:highlight w:val="none"/>
        </w:rPr>
        <w:t>对样品进行检验，并在</w:t>
      </w:r>
      <w:r>
        <w:rPr>
          <w:rFonts w:hint="eastAsia" w:ascii="宋体" w:hAnsi="宋体" w:cs="宋体"/>
          <w:color w:val="auto"/>
          <w:spacing w:val="6"/>
          <w:sz w:val="22"/>
          <w:highlight w:val="none"/>
          <w:lang w:val="en-US" w:eastAsia="zh-CN"/>
        </w:rPr>
        <w:t>取样单</w:t>
      </w:r>
      <w:r>
        <w:rPr>
          <w:rFonts w:hint="eastAsia" w:ascii="宋体" w:hAnsi="宋体" w:eastAsia="宋体" w:cs="宋体"/>
          <w:color w:val="auto"/>
          <w:spacing w:val="6"/>
          <w:sz w:val="22"/>
          <w:highlight w:val="none"/>
        </w:rPr>
        <w:t>上由双方指定人签字，然后</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在</w:t>
      </w:r>
      <w:r>
        <w:rPr>
          <w:rFonts w:hint="eastAsia" w:ascii="宋体" w:hAnsi="宋体" w:eastAsia="宋体" w:cs="宋体"/>
          <w:color w:val="auto"/>
          <w:spacing w:val="6"/>
          <w:sz w:val="22"/>
          <w:highlight w:val="none"/>
          <w:lang w:val="en-US" w:eastAsia="zh-CN"/>
        </w:rPr>
        <w:t>收</w:t>
      </w:r>
      <w:r>
        <w:rPr>
          <w:rFonts w:hint="eastAsia" w:ascii="宋体" w:hAnsi="宋体" w:eastAsia="宋体" w:cs="宋体"/>
          <w:color w:val="auto"/>
          <w:spacing w:val="6"/>
          <w:sz w:val="22"/>
          <w:highlight w:val="none"/>
        </w:rPr>
        <w:t>料单上由</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指定验收人员签字后（以下简称收料单），供应商即完成交货义务（但交货完成仅代表货物数量验收完成）；</w:t>
      </w:r>
    </w:p>
    <w:p w14:paraId="4B4B8C2E">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6.</w:t>
      </w:r>
      <w:r>
        <w:rPr>
          <w:rFonts w:hint="eastAsia" w:ascii="宋体" w:hAnsi="宋体" w:cs="宋体"/>
          <w:color w:val="auto"/>
          <w:spacing w:val="6"/>
          <w:sz w:val="22"/>
          <w:highlight w:val="none"/>
          <w:lang w:eastAsia="zh-CN"/>
        </w:rPr>
        <w:t>路基固化土填筑材料</w:t>
      </w:r>
      <w:r>
        <w:rPr>
          <w:rFonts w:hint="eastAsia" w:ascii="宋体" w:hAnsi="宋体" w:eastAsia="宋体" w:cs="宋体"/>
          <w:color w:val="auto"/>
          <w:spacing w:val="6"/>
          <w:sz w:val="22"/>
          <w:highlight w:val="none"/>
        </w:rPr>
        <w:t>数量验收采用</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现场过磅计量，统一按照吨计量单位进行计价。由双方委派的代表签单，并交由供应商统一汇总</w:t>
      </w:r>
      <w:r>
        <w:rPr>
          <w:rFonts w:hint="eastAsia" w:ascii="宋体" w:hAnsi="宋体" w:cs="宋体"/>
          <w:color w:val="auto"/>
          <w:spacing w:val="6"/>
          <w:sz w:val="22"/>
          <w:highlight w:val="none"/>
          <w:lang w:eastAsia="zh-CN"/>
        </w:rPr>
        <w:t>。</w:t>
      </w:r>
      <w:r>
        <w:rPr>
          <w:rFonts w:hint="eastAsia" w:ascii="宋体" w:hAnsi="宋体" w:eastAsia="宋体" w:cs="宋体"/>
          <w:color w:val="auto"/>
          <w:spacing w:val="6"/>
          <w:sz w:val="22"/>
          <w:highlight w:val="none"/>
        </w:rPr>
        <w:t>（合同执行过程中出现立方为计量单位的，折算公式为1立方米</w:t>
      </w:r>
      <w:r>
        <w:rPr>
          <w:rFonts w:hint="eastAsia" w:ascii="宋体" w:hAnsi="宋体" w:cs="宋体"/>
          <w:color w:val="auto"/>
          <w:spacing w:val="6"/>
          <w:sz w:val="22"/>
          <w:highlight w:val="none"/>
          <w:lang w:eastAsia="zh-CN"/>
        </w:rPr>
        <w:t>路基固化土填筑材料</w:t>
      </w:r>
      <w:r>
        <w:rPr>
          <w:rFonts w:hint="eastAsia" w:ascii="宋体" w:hAnsi="宋体" w:eastAsia="宋体" w:cs="宋体"/>
          <w:color w:val="auto"/>
          <w:spacing w:val="6"/>
          <w:sz w:val="22"/>
          <w:highlight w:val="none"/>
        </w:rPr>
        <w:t>=1.9吨）</w:t>
      </w:r>
    </w:p>
    <w:p w14:paraId="08A57DA4">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7.未经</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书面同意，供应商擅自将供应的</w:t>
      </w:r>
      <w:r>
        <w:rPr>
          <w:rFonts w:hint="eastAsia" w:ascii="宋体" w:hAnsi="宋体" w:cs="宋体"/>
          <w:color w:val="auto"/>
          <w:spacing w:val="6"/>
          <w:sz w:val="22"/>
          <w:highlight w:val="none"/>
          <w:lang w:eastAsia="zh-CN"/>
        </w:rPr>
        <w:t>路基固化土填筑材料</w:t>
      </w:r>
      <w:r>
        <w:rPr>
          <w:rFonts w:hint="eastAsia" w:ascii="宋体" w:hAnsi="宋体" w:eastAsia="宋体" w:cs="宋体"/>
          <w:color w:val="auto"/>
          <w:spacing w:val="6"/>
          <w:sz w:val="22"/>
          <w:highlight w:val="none"/>
        </w:rPr>
        <w:t>与合同约定外的其他品牌、规格的固化土或其他供应商提供的混合储运、提供，则由此造成的质量问题由供应商自行承担全部责任与损失，并且</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有权单方终止合同履行；</w:t>
      </w:r>
    </w:p>
    <w:p w14:paraId="1430F0AF">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8.在供应商供货过程中，供应商承担货物交货前的所有安全责任问题；</w:t>
      </w:r>
    </w:p>
    <w:p w14:paraId="755808B0">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9.供应商须无条件地接受</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对其投入到本项目的产品质量、服务质量的监督和管理。项目实施过程中，供应商必须要严格把关，按照相应规范标准提供原材料，如出现不符合标准要求的情况，供应商必须无条件更换原材料，直至达到规范标准要求，所发生的费用均由供应商承担；</w:t>
      </w:r>
    </w:p>
    <w:p w14:paraId="095D1D48">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10.验收</w:t>
      </w:r>
    </w:p>
    <w:p w14:paraId="2E5F0882">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10.1 材料运达到货地点后，由</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清点接货。如因包装或运输不当造成材料质量下降或缺损等，供应商承担责任；</w:t>
      </w:r>
    </w:p>
    <w:p w14:paraId="34FA45B7">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10.2 材料到达交货地点后，供应商应按</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安排的时间派人到交货点进行检验。供应商应按合同所需供应的材料提供检测报告单，供需双方按合同要求进行验收，若有短少或不符合标准的材料，供应商应12小时内补足或更换全新同规格的材料，并承担由此产生的一切费用；如果该不合格材料已经被使用，由此引发的一切后果由供应商承担；</w:t>
      </w:r>
    </w:p>
    <w:p w14:paraId="43688D48">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10.3 在供货期间如</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发现产品存在质量疑问时，供应商须和</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一起在公开、公正的情况下按现行规范对存在疑问的产品进行取样、封存，并委托由</w:t>
      </w:r>
      <w:r>
        <w:rPr>
          <w:rFonts w:hint="eastAsia" w:ascii="宋体" w:hAnsi="宋体" w:eastAsia="宋体" w:cs="宋体"/>
          <w:color w:val="auto"/>
          <w:spacing w:val="6"/>
          <w:sz w:val="22"/>
          <w:highlight w:val="none"/>
          <w:lang w:val="en-US" w:eastAsia="zh-CN"/>
        </w:rPr>
        <w:t>采购人</w:t>
      </w:r>
      <w:r>
        <w:rPr>
          <w:rFonts w:hint="eastAsia" w:ascii="宋体" w:hAnsi="宋体" w:eastAsia="宋体" w:cs="宋体"/>
          <w:color w:val="auto"/>
          <w:spacing w:val="6"/>
          <w:sz w:val="22"/>
          <w:highlight w:val="none"/>
        </w:rPr>
        <w:t>指定的试验检测单位进行检验，试验费用由</w:t>
      </w:r>
      <w:r>
        <w:rPr>
          <w:rFonts w:hint="eastAsia" w:ascii="宋体" w:hAnsi="宋体" w:eastAsia="宋体" w:cs="宋体"/>
          <w:b w:val="0"/>
          <w:bCs w:val="0"/>
          <w:color w:val="auto"/>
          <w:spacing w:val="6"/>
          <w:sz w:val="22"/>
          <w:highlight w:val="none"/>
        </w:rPr>
        <w:t>供应商</w:t>
      </w:r>
      <w:r>
        <w:rPr>
          <w:rFonts w:hint="eastAsia" w:ascii="宋体" w:hAnsi="宋体" w:eastAsia="宋体" w:cs="宋体"/>
          <w:color w:val="auto"/>
          <w:spacing w:val="6"/>
          <w:sz w:val="22"/>
          <w:highlight w:val="none"/>
        </w:rPr>
        <w:t>承担</w:t>
      </w:r>
      <w:r>
        <w:rPr>
          <w:rFonts w:hint="eastAsia" w:ascii="宋体" w:hAnsi="宋体" w:cs="宋体"/>
          <w:color w:val="auto"/>
          <w:spacing w:val="6"/>
          <w:sz w:val="22"/>
          <w:highlight w:val="none"/>
          <w:lang w:eastAsia="zh-CN"/>
        </w:rPr>
        <w:t>。</w:t>
      </w:r>
    </w:p>
    <w:p w14:paraId="48AA6CCE">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11.质量要求</w:t>
      </w:r>
    </w:p>
    <w:p w14:paraId="1C9B5B4C">
      <w:pPr>
        <w:widowControl w:val="0"/>
        <w:wordWrap/>
        <w:adjustRightInd/>
        <w:snapToGrid/>
        <w:spacing w:line="400" w:lineRule="exact"/>
        <w:ind w:left="17" w:leftChars="8" w:right="96" w:firstLine="399" w:firstLineChars="172"/>
        <w:textAlignment w:val="auto"/>
        <w:outlineLvl w:val="9"/>
        <w:rPr>
          <w:rFonts w:hint="eastAsia" w:ascii="宋体" w:hAnsi="宋体" w:eastAsia="宋体" w:cs="宋体"/>
          <w:color w:val="auto"/>
          <w:spacing w:val="6"/>
          <w:sz w:val="22"/>
          <w:highlight w:val="none"/>
        </w:rPr>
      </w:pPr>
      <w:r>
        <w:rPr>
          <w:rFonts w:hint="eastAsia" w:ascii="宋体" w:hAnsi="宋体" w:eastAsia="宋体" w:cs="宋体"/>
          <w:color w:val="auto"/>
          <w:spacing w:val="6"/>
          <w:sz w:val="22"/>
          <w:highlight w:val="none"/>
        </w:rPr>
        <w:t>11.1质量标准：合同产品的质量、技术要求应满足设计要求以及国家有关部门颁发的最新的国家或专业（部）标准执行。没有国家或专业（部）标准的，按企业标准执行。</w:t>
      </w:r>
    </w:p>
    <w:p w14:paraId="3D7948EA">
      <w:pPr>
        <w:widowControl w:val="0"/>
        <w:numPr>
          <w:ilvl w:val="0"/>
          <w:numId w:val="0"/>
        </w:numPr>
        <w:wordWrap/>
        <w:adjustRightInd/>
        <w:snapToGrid/>
        <w:spacing w:beforeLines="50" w:afterLines="50" w:line="400" w:lineRule="exact"/>
        <w:ind w:left="17" w:leftChars="8" w:right="96" w:firstLine="399" w:firstLineChars="172"/>
        <w:textAlignment w:val="auto"/>
        <w:outlineLvl w:val="9"/>
        <w:rPr>
          <w:rFonts w:hint="eastAsia" w:ascii="黑体" w:hAnsi="黑体" w:eastAsia="黑体" w:cs="黑体"/>
          <w:color w:val="auto"/>
          <w:spacing w:val="6"/>
          <w:sz w:val="22"/>
          <w:highlight w:val="none"/>
          <w:lang w:val="en-US" w:eastAsia="zh-CN"/>
        </w:rPr>
      </w:pPr>
      <w:r>
        <w:rPr>
          <w:rFonts w:hint="eastAsia" w:ascii="黑体" w:hAnsi="黑体" w:eastAsia="黑体" w:cs="黑体"/>
          <w:color w:val="auto"/>
          <w:spacing w:val="6"/>
          <w:sz w:val="22"/>
          <w:highlight w:val="none"/>
          <w:lang w:val="en-US" w:eastAsia="zh-CN"/>
        </w:rPr>
        <w:t>四、最高限价</w:t>
      </w:r>
    </w:p>
    <w:p w14:paraId="466A49FB">
      <w:pPr>
        <w:widowControl w:val="0"/>
        <w:wordWrap/>
        <w:adjustRightInd/>
        <w:snapToGrid/>
        <w:spacing w:line="400" w:lineRule="exact"/>
        <w:ind w:left="17" w:leftChars="8" w:right="96" w:firstLine="401" w:firstLineChars="172"/>
        <w:textAlignment w:val="auto"/>
        <w:outlineLvl w:val="9"/>
        <w:rPr>
          <w:rFonts w:hint="eastAsia" w:ascii="宋体" w:hAnsi="宋体" w:eastAsia="宋体" w:cs="宋体"/>
          <w:b/>
          <w:bCs/>
          <w:color w:val="auto"/>
          <w:spacing w:val="6"/>
          <w:sz w:val="22"/>
          <w:highlight w:val="none"/>
          <w:u w:val="single"/>
          <w:lang w:val="en-US" w:eastAsia="zh-CN"/>
        </w:rPr>
      </w:pPr>
      <w:r>
        <w:rPr>
          <w:rFonts w:hint="eastAsia" w:ascii="宋体" w:hAnsi="宋体" w:eastAsia="宋体" w:cs="宋体"/>
          <w:b/>
          <w:bCs/>
          <w:color w:val="auto"/>
          <w:spacing w:val="6"/>
          <w:sz w:val="22"/>
          <w:highlight w:val="none"/>
          <w:u w:val="single"/>
          <w:lang w:val="en-US" w:eastAsia="zh-CN"/>
        </w:rPr>
        <w:t>▲</w:t>
      </w:r>
      <w:r>
        <w:rPr>
          <w:rFonts w:hint="eastAsia" w:ascii="宋体" w:hAnsi="宋体" w:cs="宋体"/>
          <w:b/>
          <w:bCs/>
          <w:color w:val="auto"/>
          <w:spacing w:val="6"/>
          <w:sz w:val="22"/>
          <w:highlight w:val="none"/>
          <w:u w:val="single"/>
          <w:lang w:val="en-US" w:eastAsia="zh-CN"/>
        </w:rPr>
        <w:t>路基固化土填筑材料</w:t>
      </w:r>
      <w:r>
        <w:rPr>
          <w:rFonts w:hint="eastAsia" w:ascii="宋体" w:hAnsi="宋体" w:eastAsia="宋体" w:cs="宋体"/>
          <w:b/>
          <w:bCs/>
          <w:color w:val="auto"/>
          <w:spacing w:val="6"/>
          <w:sz w:val="22"/>
          <w:highlight w:val="none"/>
          <w:u w:val="single"/>
          <w:lang w:val="en-US" w:eastAsia="zh-CN"/>
        </w:rPr>
        <w:t>最高限价：</w:t>
      </w:r>
      <w:r>
        <w:rPr>
          <w:rFonts w:hint="eastAsia" w:ascii="宋体" w:hAnsi="宋体" w:cs="宋体"/>
          <w:b/>
          <w:bCs/>
          <w:color w:val="auto"/>
          <w:spacing w:val="6"/>
          <w:sz w:val="22"/>
          <w:highlight w:val="none"/>
          <w:u w:val="single"/>
          <w:lang w:val="en-US" w:eastAsia="zh-CN"/>
        </w:rPr>
        <w:t>41</w:t>
      </w:r>
      <w:r>
        <w:rPr>
          <w:rFonts w:hint="eastAsia" w:ascii="宋体" w:hAnsi="宋体" w:eastAsia="宋体" w:cs="宋体"/>
          <w:b/>
          <w:bCs/>
          <w:color w:val="auto"/>
          <w:spacing w:val="6"/>
          <w:sz w:val="22"/>
          <w:highlight w:val="none"/>
          <w:u w:val="single"/>
          <w:lang w:val="en-US" w:eastAsia="zh-CN"/>
        </w:rPr>
        <w:t>元/吨；</w:t>
      </w:r>
    </w:p>
    <w:p w14:paraId="4396F2EE">
      <w:pPr>
        <w:widowControl w:val="0"/>
        <w:wordWrap/>
        <w:adjustRightInd/>
        <w:snapToGrid/>
        <w:spacing w:beforeLines="50" w:afterLines="50" w:line="400" w:lineRule="exact"/>
        <w:ind w:left="17" w:leftChars="8" w:right="96" w:firstLine="399" w:firstLineChars="172"/>
        <w:textAlignment w:val="auto"/>
        <w:outlineLvl w:val="9"/>
        <w:rPr>
          <w:rFonts w:hint="eastAsia" w:ascii="黑体" w:hAnsi="黑体" w:eastAsia="黑体" w:cs="黑体"/>
          <w:b w:val="0"/>
          <w:bCs w:val="0"/>
          <w:color w:val="auto"/>
          <w:spacing w:val="6"/>
          <w:sz w:val="22"/>
          <w:highlight w:val="none"/>
          <w:u w:val="none"/>
          <w:lang w:val="en-US" w:eastAsia="zh-CN"/>
        </w:rPr>
      </w:pPr>
      <w:r>
        <w:rPr>
          <w:rFonts w:hint="eastAsia" w:ascii="黑体" w:hAnsi="黑体" w:eastAsia="黑体" w:cs="黑体"/>
          <w:b w:val="0"/>
          <w:bCs w:val="0"/>
          <w:color w:val="auto"/>
          <w:spacing w:val="6"/>
          <w:sz w:val="22"/>
          <w:highlight w:val="none"/>
          <w:u w:val="none"/>
          <w:lang w:val="en-US" w:eastAsia="zh-CN"/>
        </w:rPr>
        <w:t>五、固化土路基材料设计参数的说明</w:t>
      </w:r>
    </w:p>
    <w:p w14:paraId="5BC16B73">
      <w:pPr>
        <w:widowControl w:val="0"/>
        <w:wordWrap/>
        <w:adjustRightInd/>
        <w:snapToGrid/>
        <w:spacing w:line="400" w:lineRule="exact"/>
        <w:ind w:left="17" w:leftChars="8" w:right="96" w:firstLine="401" w:firstLineChars="172"/>
        <w:textAlignment w:val="auto"/>
        <w:outlineLvl w:val="9"/>
        <w:rPr>
          <w:rFonts w:hint="default" w:ascii="宋体" w:hAnsi="宋体" w:eastAsia="宋体" w:cs="宋体"/>
          <w:b/>
          <w:bCs/>
          <w:color w:val="auto"/>
          <w:spacing w:val="6"/>
          <w:sz w:val="22"/>
          <w:highlight w:val="none"/>
          <w:u w:val="single"/>
          <w:lang w:val="en-US" w:eastAsia="zh-CN"/>
        </w:rPr>
      </w:pPr>
      <w:r>
        <w:rPr>
          <w:rFonts w:hint="eastAsia" w:ascii="宋体" w:hAnsi="宋体" w:eastAsia="宋体" w:cs="宋体"/>
          <w:b/>
          <w:bCs/>
          <w:color w:val="auto"/>
          <w:spacing w:val="6"/>
          <w:sz w:val="22"/>
          <w:highlight w:val="none"/>
          <w:u w:val="single"/>
          <w:lang w:val="en-US" w:eastAsia="zh-CN"/>
        </w:rPr>
        <w:t>详见附件</w:t>
      </w:r>
    </w:p>
    <w:p w14:paraId="5F5475E6">
      <w:pPr>
        <w:widowControl w:val="0"/>
        <w:wordWrap/>
        <w:adjustRightInd/>
        <w:snapToGrid/>
        <w:spacing w:line="400" w:lineRule="exact"/>
        <w:ind w:left="17" w:leftChars="8" w:right="96" w:firstLine="571" w:firstLineChars="272"/>
        <w:textAlignment w:val="auto"/>
        <w:outlineLvl w:val="9"/>
        <w:rPr>
          <w:color w:val="auto"/>
          <w:highlight w:val="none"/>
        </w:rPr>
        <w:sectPr>
          <w:pgSz w:w="11906" w:h="16838"/>
          <w:pgMar w:top="1134" w:right="1134" w:bottom="1134" w:left="1134" w:header="851" w:footer="851" w:gutter="0"/>
          <w:pgNumType w:fmt="decimal"/>
          <w:cols w:space="720" w:num="1"/>
          <w:docGrid w:linePitch="316" w:charSpace="855"/>
        </w:sectPr>
      </w:pPr>
    </w:p>
    <w:p w14:paraId="08E2D2DF">
      <w:pPr>
        <w:widowControl w:val="0"/>
        <w:wordWrap/>
        <w:adjustRightInd/>
        <w:snapToGrid/>
        <w:spacing w:line="400" w:lineRule="exact"/>
        <w:ind w:left="0" w:leftChars="0" w:right="96" w:firstLine="0" w:firstLineChars="0"/>
        <w:textAlignment w:val="auto"/>
        <w:outlineLvl w:val="9"/>
        <w:rPr>
          <w:rFonts w:hint="eastAsia" w:ascii="黑体" w:hAnsi="黑体" w:eastAsia="黑体" w:cs="黑体"/>
          <w:color w:val="auto"/>
          <w:spacing w:val="6"/>
          <w:sz w:val="24"/>
          <w:szCs w:val="24"/>
          <w:highlight w:val="none"/>
          <w:lang w:val="en-US" w:eastAsia="zh-CN"/>
        </w:rPr>
      </w:pPr>
      <w:r>
        <w:rPr>
          <w:rFonts w:hint="eastAsia" w:ascii="黑体" w:hAnsi="黑体" w:eastAsia="黑体" w:cs="黑体"/>
          <w:color w:val="auto"/>
          <w:spacing w:val="6"/>
          <w:sz w:val="24"/>
          <w:szCs w:val="24"/>
          <w:highlight w:val="none"/>
          <w:lang w:val="en-US" w:eastAsia="zh-CN"/>
        </w:rPr>
        <w:t>附件</w:t>
      </w:r>
    </w:p>
    <w:p w14:paraId="1F12D54E">
      <w:pPr>
        <w:widowControl w:val="0"/>
        <w:wordWrap/>
        <w:adjustRightInd/>
        <w:snapToGrid/>
        <w:spacing w:line="400" w:lineRule="exact"/>
        <w:ind w:left="0" w:leftChars="0" w:right="96" w:firstLine="0" w:firstLineChars="0"/>
        <w:jc w:val="center"/>
        <w:textAlignment w:val="auto"/>
        <w:outlineLvl w:val="9"/>
        <w:rPr>
          <w:rFonts w:hint="default" w:ascii="黑体" w:hAnsi="黑体" w:eastAsia="黑体" w:cs="黑体"/>
          <w:color w:val="auto"/>
          <w:spacing w:val="6"/>
          <w:sz w:val="24"/>
          <w:szCs w:val="24"/>
          <w:highlight w:val="none"/>
          <w:lang w:val="en-US" w:eastAsia="zh-CN"/>
        </w:rPr>
      </w:pPr>
      <w:r>
        <w:rPr>
          <w:rFonts w:hint="default" w:ascii="黑体" w:hAnsi="黑体" w:eastAsia="黑体" w:cs="黑体"/>
          <w:color w:val="auto"/>
          <w:spacing w:val="6"/>
          <w:sz w:val="28"/>
          <w:szCs w:val="28"/>
          <w:highlight w:val="none"/>
          <w:lang w:val="en-US" w:eastAsia="zh-CN"/>
        </w:rPr>
        <w:t>固化土路基材料设计参数的说明</w:t>
      </w:r>
    </w:p>
    <w:p w14:paraId="7104220F">
      <w:pPr>
        <w:spacing w:before="269" w:line="222" w:lineRule="auto"/>
        <w:ind w:left="237"/>
        <w:rPr>
          <w:rFonts w:ascii="黑体" w:hAnsi="黑体" w:eastAsia="黑体" w:cs="黑体"/>
          <w:color w:val="auto"/>
          <w:sz w:val="22"/>
          <w:szCs w:val="22"/>
          <w:highlight w:val="none"/>
        </w:rPr>
      </w:pPr>
      <w:r>
        <w:rPr>
          <w:rFonts w:ascii="黑体" w:hAnsi="黑体" w:eastAsia="黑体" w:cs="黑体"/>
          <w:b/>
          <w:bCs/>
          <w:color w:val="auto"/>
          <w:spacing w:val="-4"/>
          <w:sz w:val="22"/>
          <w:szCs w:val="22"/>
          <w:highlight w:val="none"/>
        </w:rPr>
        <w:t>1、固化土指标设计依据</w:t>
      </w:r>
    </w:p>
    <w:p w14:paraId="4D01A8F3">
      <w:pPr>
        <w:pStyle w:val="5"/>
        <w:spacing w:before="179" w:line="219" w:lineRule="auto"/>
        <w:ind w:left="667"/>
        <w:rPr>
          <w:color w:val="auto"/>
          <w:sz w:val="22"/>
          <w:szCs w:val="22"/>
          <w:highlight w:val="none"/>
        </w:rPr>
      </w:pPr>
      <w:r>
        <w:rPr>
          <w:b/>
          <w:bCs/>
          <w:color w:val="auto"/>
          <w:spacing w:val="-10"/>
          <w:sz w:val="22"/>
          <w:szCs w:val="22"/>
          <w:highlight w:val="none"/>
        </w:rPr>
        <w:t>1</w:t>
      </w:r>
      <w:r>
        <w:rPr>
          <w:color w:val="auto"/>
          <w:spacing w:val="-10"/>
          <w:sz w:val="22"/>
          <w:szCs w:val="22"/>
          <w:highlight w:val="none"/>
        </w:rPr>
        <w:t>、《土壤固化剂应用技术标准》（</w:t>
      </w:r>
      <w:r>
        <w:rPr>
          <w:b/>
          <w:bCs/>
          <w:color w:val="auto"/>
          <w:spacing w:val="-10"/>
          <w:sz w:val="22"/>
          <w:szCs w:val="22"/>
          <w:highlight w:val="none"/>
        </w:rPr>
        <w:t>CJJ/T</w:t>
      </w:r>
      <w:r>
        <w:rPr>
          <w:color w:val="auto"/>
          <w:spacing w:val="-10"/>
          <w:sz w:val="22"/>
          <w:szCs w:val="22"/>
          <w:highlight w:val="none"/>
        </w:rPr>
        <w:t xml:space="preserve"> </w:t>
      </w:r>
      <w:r>
        <w:rPr>
          <w:b/>
          <w:bCs/>
          <w:color w:val="auto"/>
          <w:spacing w:val="-10"/>
          <w:sz w:val="22"/>
          <w:szCs w:val="22"/>
          <w:highlight w:val="none"/>
        </w:rPr>
        <w:t>286-</w:t>
      </w:r>
      <w:r>
        <w:rPr>
          <w:b/>
          <w:bCs/>
          <w:color w:val="auto"/>
          <w:spacing w:val="-11"/>
          <w:sz w:val="22"/>
          <w:szCs w:val="22"/>
          <w:highlight w:val="none"/>
        </w:rPr>
        <w:t>2018</w:t>
      </w:r>
      <w:r>
        <w:rPr>
          <w:color w:val="auto"/>
          <w:spacing w:val="-44"/>
          <w:sz w:val="22"/>
          <w:szCs w:val="22"/>
          <w:highlight w:val="none"/>
        </w:rPr>
        <w:t>）；</w:t>
      </w:r>
    </w:p>
    <w:p w14:paraId="6BB663B3">
      <w:pPr>
        <w:pStyle w:val="5"/>
        <w:spacing w:before="183" w:line="220" w:lineRule="auto"/>
        <w:ind w:left="653"/>
        <w:rPr>
          <w:color w:val="auto"/>
          <w:sz w:val="22"/>
          <w:szCs w:val="22"/>
          <w:highlight w:val="none"/>
        </w:rPr>
      </w:pPr>
      <w:r>
        <w:rPr>
          <w:b/>
          <w:bCs/>
          <w:color w:val="auto"/>
          <w:spacing w:val="-10"/>
          <w:sz w:val="22"/>
          <w:szCs w:val="22"/>
          <w:highlight w:val="none"/>
        </w:rPr>
        <w:t>2</w:t>
      </w:r>
      <w:r>
        <w:rPr>
          <w:color w:val="auto"/>
          <w:spacing w:val="-10"/>
          <w:sz w:val="22"/>
          <w:szCs w:val="22"/>
          <w:highlight w:val="none"/>
        </w:rPr>
        <w:t>、《道路固化土应用技术规程》（</w:t>
      </w:r>
      <w:r>
        <w:rPr>
          <w:b/>
          <w:bCs/>
          <w:color w:val="auto"/>
          <w:spacing w:val="-10"/>
          <w:sz w:val="22"/>
          <w:szCs w:val="22"/>
          <w:highlight w:val="none"/>
        </w:rPr>
        <w:t>T/CECS</w:t>
      </w:r>
      <w:r>
        <w:rPr>
          <w:color w:val="auto"/>
          <w:spacing w:val="-10"/>
          <w:sz w:val="22"/>
          <w:szCs w:val="22"/>
          <w:highlight w:val="none"/>
        </w:rPr>
        <w:t xml:space="preserve"> </w:t>
      </w:r>
      <w:r>
        <w:rPr>
          <w:b/>
          <w:bCs/>
          <w:color w:val="auto"/>
          <w:spacing w:val="-10"/>
          <w:sz w:val="22"/>
          <w:szCs w:val="22"/>
          <w:highlight w:val="none"/>
        </w:rPr>
        <w:t>737-2020</w:t>
      </w:r>
      <w:r>
        <w:rPr>
          <w:color w:val="auto"/>
          <w:spacing w:val="-35"/>
          <w:sz w:val="22"/>
          <w:szCs w:val="22"/>
          <w:highlight w:val="none"/>
        </w:rPr>
        <w:t>）；</w:t>
      </w:r>
    </w:p>
    <w:p w14:paraId="62295AF1">
      <w:pPr>
        <w:pStyle w:val="5"/>
        <w:spacing w:before="182" w:line="220" w:lineRule="auto"/>
        <w:ind w:left="654"/>
        <w:rPr>
          <w:color w:val="auto"/>
          <w:sz w:val="22"/>
          <w:szCs w:val="22"/>
          <w:highlight w:val="none"/>
        </w:rPr>
      </w:pPr>
      <w:r>
        <w:rPr>
          <w:b/>
          <w:bCs/>
          <w:color w:val="auto"/>
          <w:spacing w:val="-11"/>
          <w:sz w:val="22"/>
          <w:szCs w:val="22"/>
          <w:highlight w:val="none"/>
        </w:rPr>
        <w:t>3</w:t>
      </w:r>
      <w:r>
        <w:rPr>
          <w:color w:val="auto"/>
          <w:spacing w:val="-11"/>
          <w:sz w:val="22"/>
          <w:szCs w:val="22"/>
          <w:highlight w:val="none"/>
        </w:rPr>
        <w:t>、《工程渣土再生填料道路路基技术规程》（征求意见稿</w:t>
      </w:r>
      <w:r>
        <w:rPr>
          <w:color w:val="auto"/>
          <w:spacing w:val="-34"/>
          <w:sz w:val="22"/>
          <w:szCs w:val="22"/>
          <w:highlight w:val="none"/>
        </w:rPr>
        <w:t>）；</w:t>
      </w:r>
    </w:p>
    <w:p w14:paraId="5841465A">
      <w:pPr>
        <w:pStyle w:val="5"/>
        <w:spacing w:before="182" w:line="220" w:lineRule="auto"/>
        <w:ind w:left="649"/>
        <w:rPr>
          <w:color w:val="auto"/>
          <w:sz w:val="22"/>
          <w:szCs w:val="22"/>
          <w:highlight w:val="none"/>
        </w:rPr>
      </w:pPr>
      <w:r>
        <w:rPr>
          <w:b/>
          <w:bCs/>
          <w:color w:val="auto"/>
          <w:spacing w:val="-11"/>
          <w:sz w:val="22"/>
          <w:szCs w:val="22"/>
          <w:highlight w:val="none"/>
        </w:rPr>
        <w:t>4</w:t>
      </w:r>
      <w:r>
        <w:rPr>
          <w:color w:val="auto"/>
          <w:spacing w:val="-11"/>
          <w:sz w:val="22"/>
          <w:szCs w:val="22"/>
          <w:highlight w:val="none"/>
        </w:rPr>
        <w:t>、《废弃泥浆再生填料道路路基技术规程》（征求意见稿</w:t>
      </w:r>
      <w:r>
        <w:rPr>
          <w:color w:val="auto"/>
          <w:spacing w:val="-31"/>
          <w:sz w:val="22"/>
          <w:szCs w:val="22"/>
          <w:highlight w:val="none"/>
        </w:rPr>
        <w:t>）；</w:t>
      </w:r>
    </w:p>
    <w:p w14:paraId="3E8FB2B0">
      <w:pPr>
        <w:pStyle w:val="5"/>
        <w:spacing w:before="182" w:line="219" w:lineRule="auto"/>
        <w:ind w:left="654"/>
        <w:rPr>
          <w:color w:val="auto"/>
          <w:sz w:val="22"/>
          <w:szCs w:val="22"/>
          <w:highlight w:val="none"/>
        </w:rPr>
      </w:pPr>
      <w:r>
        <w:rPr>
          <w:b/>
          <w:bCs/>
          <w:color w:val="auto"/>
          <w:spacing w:val="-9"/>
          <w:sz w:val="22"/>
          <w:szCs w:val="22"/>
          <w:highlight w:val="none"/>
        </w:rPr>
        <w:t>5</w:t>
      </w:r>
      <w:r>
        <w:rPr>
          <w:color w:val="auto"/>
          <w:spacing w:val="-9"/>
          <w:sz w:val="22"/>
          <w:szCs w:val="22"/>
          <w:highlight w:val="none"/>
        </w:rPr>
        <w:t>、《公路工程无机结合料稳定类材料试验规程》（</w:t>
      </w:r>
      <w:r>
        <w:rPr>
          <w:b/>
          <w:bCs/>
          <w:color w:val="auto"/>
          <w:spacing w:val="-9"/>
          <w:sz w:val="22"/>
          <w:szCs w:val="22"/>
          <w:highlight w:val="none"/>
        </w:rPr>
        <w:t>JTG</w:t>
      </w:r>
      <w:r>
        <w:rPr>
          <w:color w:val="auto"/>
          <w:spacing w:val="-9"/>
          <w:sz w:val="22"/>
          <w:szCs w:val="22"/>
          <w:highlight w:val="none"/>
        </w:rPr>
        <w:t xml:space="preserve"> </w:t>
      </w:r>
      <w:r>
        <w:rPr>
          <w:b/>
          <w:bCs/>
          <w:color w:val="auto"/>
          <w:spacing w:val="-10"/>
          <w:sz w:val="22"/>
          <w:szCs w:val="22"/>
          <w:highlight w:val="none"/>
        </w:rPr>
        <w:t>E51</w:t>
      </w:r>
      <w:r>
        <w:rPr>
          <w:color w:val="auto"/>
          <w:spacing w:val="-44"/>
          <w:sz w:val="22"/>
          <w:szCs w:val="22"/>
          <w:highlight w:val="none"/>
        </w:rPr>
        <w:t>）；</w:t>
      </w:r>
    </w:p>
    <w:p w14:paraId="28108105">
      <w:pPr>
        <w:pStyle w:val="5"/>
        <w:spacing w:before="183" w:line="219" w:lineRule="auto"/>
        <w:ind w:left="652"/>
        <w:rPr>
          <w:color w:val="auto"/>
          <w:sz w:val="22"/>
          <w:szCs w:val="22"/>
          <w:highlight w:val="none"/>
        </w:rPr>
      </w:pPr>
      <w:r>
        <w:rPr>
          <w:b/>
          <w:bCs/>
          <w:color w:val="auto"/>
          <w:spacing w:val="-12"/>
          <w:sz w:val="22"/>
          <w:szCs w:val="22"/>
          <w:highlight w:val="none"/>
        </w:rPr>
        <w:t>6</w:t>
      </w:r>
      <w:r>
        <w:rPr>
          <w:color w:val="auto"/>
          <w:spacing w:val="-12"/>
          <w:sz w:val="22"/>
          <w:szCs w:val="22"/>
          <w:highlight w:val="none"/>
        </w:rPr>
        <w:t>、《土壤固化外加剂》（</w:t>
      </w:r>
      <w:r>
        <w:rPr>
          <w:b/>
          <w:bCs/>
          <w:color w:val="auto"/>
          <w:spacing w:val="-12"/>
          <w:sz w:val="22"/>
          <w:szCs w:val="22"/>
          <w:highlight w:val="none"/>
        </w:rPr>
        <w:t>CJ/T</w:t>
      </w:r>
      <w:r>
        <w:rPr>
          <w:color w:val="auto"/>
          <w:spacing w:val="-12"/>
          <w:sz w:val="22"/>
          <w:szCs w:val="22"/>
          <w:highlight w:val="none"/>
        </w:rPr>
        <w:t xml:space="preserve"> </w:t>
      </w:r>
      <w:r>
        <w:rPr>
          <w:b/>
          <w:bCs/>
          <w:color w:val="auto"/>
          <w:spacing w:val="-12"/>
          <w:sz w:val="22"/>
          <w:szCs w:val="22"/>
          <w:highlight w:val="none"/>
        </w:rPr>
        <w:t>486-2015</w:t>
      </w:r>
      <w:r>
        <w:rPr>
          <w:color w:val="auto"/>
          <w:spacing w:val="-37"/>
          <w:sz w:val="22"/>
          <w:szCs w:val="22"/>
          <w:highlight w:val="none"/>
        </w:rPr>
        <w:t>）；</w:t>
      </w:r>
    </w:p>
    <w:p w14:paraId="5B3B3559">
      <w:pPr>
        <w:pStyle w:val="5"/>
        <w:spacing w:before="183" w:line="219" w:lineRule="auto"/>
        <w:ind w:left="655"/>
        <w:rPr>
          <w:color w:val="auto"/>
          <w:sz w:val="22"/>
          <w:szCs w:val="22"/>
          <w:highlight w:val="none"/>
        </w:rPr>
      </w:pPr>
      <w:r>
        <w:rPr>
          <w:b/>
          <w:bCs/>
          <w:color w:val="auto"/>
          <w:spacing w:val="-10"/>
          <w:sz w:val="22"/>
          <w:szCs w:val="22"/>
          <w:highlight w:val="none"/>
        </w:rPr>
        <w:t>7</w:t>
      </w:r>
      <w:r>
        <w:rPr>
          <w:color w:val="auto"/>
          <w:spacing w:val="-10"/>
          <w:sz w:val="22"/>
          <w:szCs w:val="22"/>
          <w:highlight w:val="none"/>
        </w:rPr>
        <w:t>、《城市道路工程施工与质量验收规范》（</w:t>
      </w:r>
      <w:r>
        <w:rPr>
          <w:b/>
          <w:bCs/>
          <w:color w:val="auto"/>
          <w:spacing w:val="-10"/>
          <w:sz w:val="22"/>
          <w:szCs w:val="22"/>
          <w:highlight w:val="none"/>
        </w:rPr>
        <w:t>CJJ1-2008</w:t>
      </w:r>
      <w:r>
        <w:rPr>
          <w:color w:val="auto"/>
          <w:spacing w:val="-40"/>
          <w:sz w:val="22"/>
          <w:szCs w:val="22"/>
          <w:highlight w:val="none"/>
        </w:rPr>
        <w:t>）；</w:t>
      </w:r>
    </w:p>
    <w:p w14:paraId="187E49FE">
      <w:pPr>
        <w:pStyle w:val="5"/>
        <w:spacing w:before="184" w:line="221" w:lineRule="auto"/>
        <w:ind w:left="651"/>
        <w:rPr>
          <w:color w:val="auto"/>
          <w:sz w:val="22"/>
          <w:szCs w:val="22"/>
          <w:highlight w:val="none"/>
        </w:rPr>
      </w:pPr>
      <w:r>
        <w:rPr>
          <w:b/>
          <w:bCs/>
          <w:color w:val="auto"/>
          <w:spacing w:val="-7"/>
          <w:sz w:val="22"/>
          <w:szCs w:val="22"/>
          <w:highlight w:val="none"/>
        </w:rPr>
        <w:t>8</w:t>
      </w:r>
      <w:r>
        <w:rPr>
          <w:color w:val="auto"/>
          <w:spacing w:val="-7"/>
          <w:sz w:val="22"/>
          <w:szCs w:val="22"/>
          <w:highlight w:val="none"/>
        </w:rPr>
        <w:t>、《土工试验方法标准》</w:t>
      </w:r>
      <w:r>
        <w:rPr>
          <w:b/>
          <w:bCs/>
          <w:color w:val="auto"/>
          <w:spacing w:val="-7"/>
          <w:sz w:val="22"/>
          <w:szCs w:val="22"/>
          <w:highlight w:val="none"/>
        </w:rPr>
        <w:t>GB/T</w:t>
      </w:r>
      <w:r>
        <w:rPr>
          <w:color w:val="auto"/>
          <w:spacing w:val="-7"/>
          <w:sz w:val="22"/>
          <w:szCs w:val="22"/>
          <w:highlight w:val="none"/>
        </w:rPr>
        <w:t xml:space="preserve"> </w:t>
      </w:r>
      <w:r>
        <w:rPr>
          <w:b/>
          <w:bCs/>
          <w:color w:val="auto"/>
          <w:spacing w:val="-7"/>
          <w:sz w:val="22"/>
          <w:szCs w:val="22"/>
          <w:highlight w:val="none"/>
        </w:rPr>
        <w:t>50123</w:t>
      </w:r>
      <w:r>
        <w:rPr>
          <w:color w:val="auto"/>
          <w:spacing w:val="-7"/>
          <w:sz w:val="22"/>
          <w:szCs w:val="22"/>
          <w:highlight w:val="none"/>
        </w:rPr>
        <w:t>；</w:t>
      </w:r>
    </w:p>
    <w:p w14:paraId="7329EABA">
      <w:pPr>
        <w:spacing w:before="269" w:line="222" w:lineRule="auto"/>
        <w:ind w:left="237"/>
        <w:rPr>
          <w:rFonts w:ascii="黑体" w:hAnsi="黑体" w:eastAsia="黑体" w:cs="黑体"/>
          <w:b/>
          <w:bCs/>
          <w:color w:val="auto"/>
          <w:spacing w:val="-4"/>
          <w:sz w:val="22"/>
          <w:szCs w:val="22"/>
          <w:highlight w:val="none"/>
        </w:rPr>
      </w:pPr>
      <w:r>
        <w:rPr>
          <w:rFonts w:ascii="黑体" w:hAnsi="黑体" w:eastAsia="黑体" w:cs="黑体"/>
          <w:b/>
          <w:bCs/>
          <w:color w:val="auto"/>
          <w:spacing w:val="-4"/>
          <w:sz w:val="22"/>
          <w:szCs w:val="22"/>
          <w:highlight w:val="none"/>
        </w:rPr>
        <w:t>2、固化土检验及验收标准</w:t>
      </w:r>
    </w:p>
    <w:p w14:paraId="472B8528">
      <w:pPr>
        <w:pStyle w:val="5"/>
        <w:spacing w:before="182" w:line="220" w:lineRule="auto"/>
        <w:ind w:left="3913"/>
        <w:rPr>
          <w:color w:val="auto"/>
          <w:sz w:val="22"/>
          <w:szCs w:val="22"/>
          <w:highlight w:val="none"/>
        </w:rPr>
      </w:pPr>
      <w:r>
        <w:rPr>
          <w:color w:val="auto"/>
          <w:spacing w:val="-3"/>
          <w:sz w:val="22"/>
          <w:szCs w:val="22"/>
          <w:highlight w:val="none"/>
        </w:rPr>
        <w:t>固化土主要检验标准</w:t>
      </w:r>
    </w:p>
    <w:p w14:paraId="093C22CD">
      <w:pPr>
        <w:spacing w:line="69" w:lineRule="exact"/>
        <w:rPr>
          <w:color w:val="auto"/>
          <w:sz w:val="22"/>
          <w:highlight w:val="none"/>
        </w:rPr>
      </w:pPr>
    </w:p>
    <w:tbl>
      <w:tblPr>
        <w:tblStyle w:val="11"/>
        <w:tblW w:w="99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8"/>
        <w:gridCol w:w="2173"/>
        <w:gridCol w:w="2780"/>
        <w:gridCol w:w="2792"/>
      </w:tblGrid>
      <w:tr w14:paraId="16ABF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78" w:type="dxa"/>
            <w:vAlign w:val="top"/>
          </w:tcPr>
          <w:p w14:paraId="74404B15">
            <w:pPr>
              <w:pStyle w:val="22"/>
              <w:spacing w:before="117" w:line="221" w:lineRule="auto"/>
              <w:ind w:left="857"/>
              <w:rPr>
                <w:color w:val="auto"/>
                <w:sz w:val="22"/>
                <w:szCs w:val="22"/>
                <w:highlight w:val="none"/>
              </w:rPr>
            </w:pPr>
            <w:r>
              <w:rPr>
                <w:color w:val="auto"/>
                <w:spacing w:val="-4"/>
                <w:sz w:val="22"/>
                <w:szCs w:val="22"/>
                <w:highlight w:val="none"/>
              </w:rPr>
              <w:t>项目</w:t>
            </w:r>
          </w:p>
        </w:tc>
        <w:tc>
          <w:tcPr>
            <w:tcW w:w="2173" w:type="dxa"/>
            <w:vAlign w:val="top"/>
          </w:tcPr>
          <w:p w14:paraId="5B5CBA73">
            <w:pPr>
              <w:pStyle w:val="22"/>
              <w:spacing w:before="117" w:line="221" w:lineRule="auto"/>
              <w:ind w:left="610"/>
              <w:rPr>
                <w:color w:val="auto"/>
                <w:sz w:val="22"/>
                <w:szCs w:val="22"/>
                <w:highlight w:val="none"/>
              </w:rPr>
            </w:pPr>
            <w:r>
              <w:rPr>
                <w:color w:val="auto"/>
                <w:spacing w:val="-2"/>
                <w:sz w:val="22"/>
                <w:szCs w:val="22"/>
                <w:highlight w:val="none"/>
              </w:rPr>
              <w:t>性能指标</w:t>
            </w:r>
          </w:p>
        </w:tc>
        <w:tc>
          <w:tcPr>
            <w:tcW w:w="2780" w:type="dxa"/>
            <w:vAlign w:val="top"/>
          </w:tcPr>
          <w:p w14:paraId="6BB1CCDA">
            <w:pPr>
              <w:pStyle w:val="22"/>
              <w:spacing w:before="117" w:line="220" w:lineRule="auto"/>
              <w:ind w:left="914"/>
              <w:rPr>
                <w:color w:val="auto"/>
                <w:sz w:val="22"/>
                <w:szCs w:val="22"/>
                <w:highlight w:val="none"/>
              </w:rPr>
            </w:pPr>
            <w:r>
              <w:rPr>
                <w:color w:val="auto"/>
                <w:spacing w:val="-2"/>
                <w:sz w:val="22"/>
                <w:szCs w:val="22"/>
                <w:highlight w:val="none"/>
              </w:rPr>
              <w:t>检验批次</w:t>
            </w:r>
          </w:p>
        </w:tc>
        <w:tc>
          <w:tcPr>
            <w:tcW w:w="2792" w:type="dxa"/>
            <w:vAlign w:val="top"/>
          </w:tcPr>
          <w:p w14:paraId="2C88B245">
            <w:pPr>
              <w:pStyle w:val="22"/>
              <w:spacing w:before="117" w:line="220" w:lineRule="auto"/>
              <w:ind w:left="922"/>
              <w:rPr>
                <w:color w:val="auto"/>
                <w:sz w:val="22"/>
                <w:szCs w:val="22"/>
                <w:highlight w:val="none"/>
              </w:rPr>
            </w:pPr>
            <w:r>
              <w:rPr>
                <w:color w:val="auto"/>
                <w:spacing w:val="-2"/>
                <w:sz w:val="22"/>
                <w:szCs w:val="22"/>
                <w:highlight w:val="none"/>
              </w:rPr>
              <w:t>检测方法</w:t>
            </w:r>
          </w:p>
        </w:tc>
      </w:tr>
      <w:tr w14:paraId="6BB83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2178" w:type="dxa"/>
            <w:vAlign w:val="center"/>
          </w:tcPr>
          <w:p w14:paraId="23096EDB">
            <w:pPr>
              <w:pStyle w:val="22"/>
              <w:spacing w:before="0" w:line="400" w:lineRule="exact"/>
              <w:ind w:left="0"/>
              <w:jc w:val="center"/>
              <w:rPr>
                <w:color w:val="auto"/>
                <w:sz w:val="22"/>
                <w:szCs w:val="22"/>
                <w:highlight w:val="none"/>
              </w:rPr>
            </w:pPr>
            <w:r>
              <w:rPr>
                <w:b/>
                <w:bCs/>
                <w:color w:val="auto"/>
                <w:spacing w:val="-4"/>
                <w:sz w:val="22"/>
                <w:szCs w:val="22"/>
                <w:highlight w:val="none"/>
              </w:rPr>
              <w:t>7d</w:t>
            </w:r>
            <w:r>
              <w:rPr>
                <w:color w:val="auto"/>
                <w:spacing w:val="-66"/>
                <w:sz w:val="22"/>
                <w:szCs w:val="22"/>
                <w:highlight w:val="none"/>
              </w:rPr>
              <w:t xml:space="preserve"> </w:t>
            </w:r>
            <w:r>
              <w:rPr>
                <w:color w:val="auto"/>
                <w:spacing w:val="-4"/>
                <w:sz w:val="22"/>
                <w:szCs w:val="22"/>
                <w:highlight w:val="none"/>
              </w:rPr>
              <w:t>无侧限抗压强度</w:t>
            </w:r>
            <w:r>
              <w:rPr>
                <w:color w:val="auto"/>
                <w:spacing w:val="-5"/>
                <w:sz w:val="22"/>
                <w:szCs w:val="22"/>
                <w:highlight w:val="none"/>
              </w:rPr>
              <w:t>（</w:t>
            </w:r>
            <w:r>
              <w:rPr>
                <w:b/>
                <w:bCs/>
                <w:color w:val="auto"/>
                <w:spacing w:val="-5"/>
                <w:sz w:val="22"/>
                <w:szCs w:val="22"/>
                <w:highlight w:val="none"/>
              </w:rPr>
              <w:t>Mpa</w:t>
            </w:r>
            <w:r>
              <w:rPr>
                <w:color w:val="auto"/>
                <w:spacing w:val="-5"/>
                <w:sz w:val="22"/>
                <w:szCs w:val="22"/>
                <w:highlight w:val="none"/>
              </w:rPr>
              <w:t>）</w:t>
            </w:r>
          </w:p>
        </w:tc>
        <w:tc>
          <w:tcPr>
            <w:tcW w:w="2173" w:type="dxa"/>
            <w:vAlign w:val="center"/>
          </w:tcPr>
          <w:p w14:paraId="641687B7">
            <w:pPr>
              <w:pStyle w:val="22"/>
              <w:spacing w:before="0" w:line="400" w:lineRule="exact"/>
              <w:ind w:left="0"/>
              <w:jc w:val="center"/>
              <w:rPr>
                <w:color w:val="auto"/>
                <w:sz w:val="22"/>
                <w:szCs w:val="22"/>
                <w:highlight w:val="none"/>
              </w:rPr>
            </w:pPr>
            <w:r>
              <w:rPr>
                <w:color w:val="auto"/>
                <w:spacing w:val="-11"/>
                <w:sz w:val="22"/>
                <w:szCs w:val="22"/>
                <w:highlight w:val="none"/>
              </w:rPr>
              <w:t>≥</w:t>
            </w:r>
            <w:r>
              <w:rPr>
                <w:b/>
                <w:bCs/>
                <w:color w:val="auto"/>
                <w:spacing w:val="-11"/>
                <w:sz w:val="22"/>
                <w:szCs w:val="22"/>
                <w:highlight w:val="none"/>
              </w:rPr>
              <w:t>0.6</w:t>
            </w:r>
          </w:p>
        </w:tc>
        <w:tc>
          <w:tcPr>
            <w:tcW w:w="2780" w:type="dxa"/>
            <w:vAlign w:val="center"/>
          </w:tcPr>
          <w:p w14:paraId="1EACCB39">
            <w:pPr>
              <w:pStyle w:val="22"/>
              <w:spacing w:before="0" w:line="400" w:lineRule="exact"/>
              <w:ind w:left="0"/>
              <w:jc w:val="center"/>
              <w:rPr>
                <w:color w:val="auto"/>
                <w:sz w:val="22"/>
                <w:szCs w:val="22"/>
                <w:highlight w:val="none"/>
              </w:rPr>
            </w:pPr>
            <w:r>
              <w:rPr>
                <w:color w:val="auto"/>
                <w:spacing w:val="-9"/>
                <w:sz w:val="22"/>
                <w:szCs w:val="22"/>
                <w:highlight w:val="none"/>
              </w:rPr>
              <w:t>每</w:t>
            </w:r>
            <w:r>
              <w:rPr>
                <w:color w:val="auto"/>
                <w:spacing w:val="-41"/>
                <w:sz w:val="22"/>
                <w:szCs w:val="22"/>
                <w:highlight w:val="none"/>
              </w:rPr>
              <w:t xml:space="preserve"> </w:t>
            </w:r>
            <w:r>
              <w:rPr>
                <w:b/>
                <w:bCs/>
                <w:color w:val="auto"/>
                <w:spacing w:val="-9"/>
                <w:sz w:val="22"/>
                <w:szCs w:val="22"/>
                <w:highlight w:val="none"/>
              </w:rPr>
              <w:t>2000</w:t>
            </w:r>
            <w:r>
              <w:rPr>
                <w:color w:val="auto"/>
                <w:spacing w:val="-50"/>
                <w:sz w:val="22"/>
                <w:szCs w:val="22"/>
                <w:highlight w:val="none"/>
              </w:rPr>
              <w:t xml:space="preserve"> </w:t>
            </w:r>
            <w:r>
              <w:rPr>
                <w:color w:val="auto"/>
                <w:spacing w:val="-9"/>
                <w:sz w:val="22"/>
                <w:szCs w:val="22"/>
                <w:highlight w:val="none"/>
              </w:rPr>
              <w:t>㎡检验</w:t>
            </w:r>
            <w:r>
              <w:rPr>
                <w:color w:val="auto"/>
                <w:spacing w:val="-22"/>
                <w:sz w:val="22"/>
                <w:szCs w:val="22"/>
                <w:highlight w:val="none"/>
              </w:rPr>
              <w:t xml:space="preserve"> </w:t>
            </w:r>
            <w:r>
              <w:rPr>
                <w:b/>
                <w:bCs/>
                <w:color w:val="auto"/>
                <w:spacing w:val="-9"/>
                <w:sz w:val="22"/>
                <w:szCs w:val="22"/>
                <w:highlight w:val="none"/>
              </w:rPr>
              <w:t>1</w:t>
            </w:r>
            <w:r>
              <w:rPr>
                <w:color w:val="auto"/>
                <w:spacing w:val="-48"/>
                <w:sz w:val="22"/>
                <w:szCs w:val="22"/>
                <w:highlight w:val="none"/>
              </w:rPr>
              <w:t xml:space="preserve"> </w:t>
            </w:r>
            <w:r>
              <w:rPr>
                <w:color w:val="auto"/>
                <w:spacing w:val="-9"/>
                <w:sz w:val="22"/>
                <w:szCs w:val="22"/>
                <w:highlight w:val="none"/>
              </w:rPr>
              <w:t>组</w:t>
            </w:r>
          </w:p>
        </w:tc>
        <w:tc>
          <w:tcPr>
            <w:tcW w:w="2792" w:type="dxa"/>
            <w:vAlign w:val="center"/>
          </w:tcPr>
          <w:p w14:paraId="5452B7CD">
            <w:pPr>
              <w:pStyle w:val="22"/>
              <w:spacing w:before="0" w:line="400" w:lineRule="exact"/>
              <w:ind w:left="0"/>
              <w:jc w:val="center"/>
              <w:rPr>
                <w:color w:val="auto"/>
                <w:sz w:val="22"/>
                <w:szCs w:val="22"/>
                <w:highlight w:val="none"/>
              </w:rPr>
            </w:pPr>
            <w:r>
              <w:rPr>
                <w:color w:val="auto"/>
                <w:spacing w:val="-2"/>
                <w:sz w:val="22"/>
                <w:szCs w:val="22"/>
                <w:highlight w:val="none"/>
              </w:rPr>
              <w:t>《公路工程无机结合料</w:t>
            </w:r>
          </w:p>
          <w:p w14:paraId="7CB4C272">
            <w:pPr>
              <w:pStyle w:val="22"/>
              <w:spacing w:before="0" w:line="400" w:lineRule="exact"/>
              <w:ind w:left="0"/>
              <w:jc w:val="center"/>
              <w:rPr>
                <w:color w:val="auto"/>
                <w:sz w:val="22"/>
                <w:szCs w:val="22"/>
                <w:highlight w:val="none"/>
              </w:rPr>
            </w:pPr>
            <w:r>
              <w:rPr>
                <w:color w:val="auto"/>
                <w:spacing w:val="-2"/>
                <w:sz w:val="22"/>
                <w:szCs w:val="22"/>
                <w:highlight w:val="none"/>
              </w:rPr>
              <w:t>稳定材料试验规程》</w:t>
            </w:r>
            <w:r>
              <w:rPr>
                <w:b/>
                <w:bCs/>
                <w:color w:val="auto"/>
                <w:spacing w:val="-2"/>
                <w:sz w:val="22"/>
                <w:szCs w:val="22"/>
                <w:highlight w:val="none"/>
              </w:rPr>
              <w:t>JTG</w:t>
            </w:r>
          </w:p>
          <w:p w14:paraId="776048AF">
            <w:pPr>
              <w:pStyle w:val="22"/>
              <w:spacing w:before="0" w:line="400" w:lineRule="exact"/>
              <w:ind w:left="0"/>
              <w:jc w:val="center"/>
              <w:rPr>
                <w:color w:val="auto"/>
                <w:sz w:val="22"/>
                <w:szCs w:val="22"/>
                <w:highlight w:val="none"/>
              </w:rPr>
            </w:pPr>
            <w:r>
              <w:rPr>
                <w:b/>
                <w:bCs/>
                <w:color w:val="auto"/>
                <w:spacing w:val="-4"/>
                <w:sz w:val="22"/>
                <w:szCs w:val="22"/>
                <w:highlight w:val="none"/>
              </w:rPr>
              <w:t>E51</w:t>
            </w:r>
          </w:p>
        </w:tc>
      </w:tr>
      <w:tr w14:paraId="51CB8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2178" w:type="dxa"/>
            <w:vAlign w:val="center"/>
          </w:tcPr>
          <w:p w14:paraId="472FBA2C">
            <w:pPr>
              <w:pStyle w:val="22"/>
              <w:spacing w:before="0" w:line="400" w:lineRule="exact"/>
              <w:ind w:left="0"/>
              <w:jc w:val="center"/>
              <w:rPr>
                <w:color w:val="auto"/>
                <w:sz w:val="22"/>
                <w:szCs w:val="22"/>
                <w:highlight w:val="none"/>
              </w:rPr>
            </w:pPr>
            <w:r>
              <w:rPr>
                <w:b/>
                <w:bCs/>
                <w:color w:val="auto"/>
                <w:spacing w:val="2"/>
                <w:sz w:val="22"/>
                <w:szCs w:val="22"/>
                <w:highlight w:val="none"/>
              </w:rPr>
              <w:t>4h</w:t>
            </w:r>
            <w:r>
              <w:rPr>
                <w:color w:val="auto"/>
                <w:spacing w:val="2"/>
                <w:sz w:val="22"/>
                <w:szCs w:val="22"/>
                <w:highlight w:val="none"/>
              </w:rPr>
              <w:t>凝结时间影响系</w:t>
            </w:r>
            <w:r>
              <w:rPr>
                <w:color w:val="auto"/>
                <w:spacing w:val="-4"/>
                <w:sz w:val="22"/>
                <w:szCs w:val="22"/>
                <w:highlight w:val="none"/>
              </w:rPr>
              <w:t>数（</w:t>
            </w:r>
            <w:r>
              <w:rPr>
                <w:b/>
                <w:bCs/>
                <w:color w:val="auto"/>
                <w:spacing w:val="-4"/>
                <w:sz w:val="22"/>
                <w:szCs w:val="22"/>
                <w:highlight w:val="none"/>
              </w:rPr>
              <w:t>%</w:t>
            </w:r>
            <w:r>
              <w:rPr>
                <w:color w:val="auto"/>
                <w:spacing w:val="-4"/>
                <w:sz w:val="22"/>
                <w:szCs w:val="22"/>
                <w:highlight w:val="none"/>
              </w:rPr>
              <w:t>）</w:t>
            </w:r>
          </w:p>
        </w:tc>
        <w:tc>
          <w:tcPr>
            <w:tcW w:w="2173" w:type="dxa"/>
            <w:vAlign w:val="center"/>
          </w:tcPr>
          <w:p w14:paraId="0DFDD44F">
            <w:pPr>
              <w:pStyle w:val="22"/>
              <w:spacing w:before="0" w:line="400" w:lineRule="exact"/>
              <w:ind w:left="0"/>
              <w:jc w:val="center"/>
              <w:rPr>
                <w:color w:val="auto"/>
                <w:sz w:val="22"/>
                <w:szCs w:val="22"/>
                <w:highlight w:val="none"/>
              </w:rPr>
            </w:pPr>
            <w:r>
              <w:rPr>
                <w:color w:val="auto"/>
                <w:spacing w:val="-13"/>
                <w:sz w:val="22"/>
                <w:szCs w:val="22"/>
                <w:highlight w:val="none"/>
              </w:rPr>
              <w:t>≥</w:t>
            </w:r>
            <w:r>
              <w:rPr>
                <w:b/>
                <w:bCs/>
                <w:color w:val="auto"/>
                <w:spacing w:val="-13"/>
                <w:sz w:val="22"/>
                <w:szCs w:val="22"/>
                <w:highlight w:val="none"/>
              </w:rPr>
              <w:t>90</w:t>
            </w:r>
          </w:p>
        </w:tc>
        <w:tc>
          <w:tcPr>
            <w:tcW w:w="2780" w:type="dxa"/>
            <w:vAlign w:val="center"/>
          </w:tcPr>
          <w:p w14:paraId="13540585">
            <w:pPr>
              <w:pStyle w:val="22"/>
              <w:spacing w:before="0" w:line="400" w:lineRule="exact"/>
              <w:ind w:left="0" w:right="0" w:firstLine="0"/>
              <w:jc w:val="center"/>
              <w:rPr>
                <w:color w:val="auto"/>
                <w:sz w:val="22"/>
                <w:szCs w:val="22"/>
                <w:highlight w:val="none"/>
              </w:rPr>
            </w:pPr>
            <w:r>
              <w:rPr>
                <w:color w:val="auto"/>
                <w:spacing w:val="-5"/>
                <w:sz w:val="22"/>
                <w:szCs w:val="22"/>
                <w:highlight w:val="none"/>
              </w:rPr>
              <w:t>相同配合比、相同工艺、</w:t>
            </w:r>
            <w:r>
              <w:rPr>
                <w:color w:val="auto"/>
                <w:spacing w:val="-7"/>
                <w:sz w:val="22"/>
                <w:szCs w:val="22"/>
                <w:highlight w:val="none"/>
              </w:rPr>
              <w:t>至少检验</w:t>
            </w:r>
            <w:r>
              <w:rPr>
                <w:color w:val="auto"/>
                <w:spacing w:val="-33"/>
                <w:sz w:val="22"/>
                <w:szCs w:val="22"/>
                <w:highlight w:val="none"/>
              </w:rPr>
              <w:t xml:space="preserve"> </w:t>
            </w:r>
            <w:r>
              <w:rPr>
                <w:b/>
                <w:bCs/>
                <w:color w:val="auto"/>
                <w:spacing w:val="-7"/>
                <w:sz w:val="22"/>
                <w:szCs w:val="22"/>
                <w:highlight w:val="none"/>
              </w:rPr>
              <w:t>1</w:t>
            </w:r>
            <w:r>
              <w:rPr>
                <w:color w:val="auto"/>
                <w:spacing w:val="-44"/>
                <w:sz w:val="22"/>
                <w:szCs w:val="22"/>
                <w:highlight w:val="none"/>
              </w:rPr>
              <w:t xml:space="preserve"> </w:t>
            </w:r>
            <w:r>
              <w:rPr>
                <w:color w:val="auto"/>
                <w:spacing w:val="-7"/>
                <w:sz w:val="22"/>
                <w:szCs w:val="22"/>
                <w:highlight w:val="none"/>
              </w:rPr>
              <w:t>次</w:t>
            </w:r>
          </w:p>
        </w:tc>
        <w:tc>
          <w:tcPr>
            <w:tcW w:w="2792" w:type="dxa"/>
            <w:vAlign w:val="center"/>
          </w:tcPr>
          <w:p w14:paraId="053A887A">
            <w:pPr>
              <w:pStyle w:val="22"/>
              <w:spacing w:before="0" w:line="400" w:lineRule="exact"/>
              <w:ind w:left="0"/>
              <w:jc w:val="center"/>
              <w:rPr>
                <w:color w:val="auto"/>
                <w:sz w:val="22"/>
                <w:szCs w:val="22"/>
                <w:highlight w:val="none"/>
              </w:rPr>
            </w:pPr>
            <w:r>
              <w:rPr>
                <w:color w:val="auto"/>
                <w:spacing w:val="-7"/>
                <w:sz w:val="22"/>
                <w:szCs w:val="22"/>
                <w:highlight w:val="none"/>
              </w:rPr>
              <w:t>《土壤固化外加剂》</w:t>
            </w:r>
            <w:r>
              <w:rPr>
                <w:b/>
                <w:bCs/>
                <w:color w:val="auto"/>
                <w:spacing w:val="-7"/>
                <w:sz w:val="22"/>
                <w:szCs w:val="22"/>
                <w:highlight w:val="none"/>
              </w:rPr>
              <w:t>CJ/T</w:t>
            </w:r>
          </w:p>
          <w:p w14:paraId="7D137215">
            <w:pPr>
              <w:pStyle w:val="22"/>
              <w:spacing w:before="0" w:line="400" w:lineRule="exact"/>
              <w:ind w:left="0"/>
              <w:jc w:val="center"/>
              <w:rPr>
                <w:color w:val="auto"/>
                <w:sz w:val="22"/>
                <w:szCs w:val="22"/>
                <w:highlight w:val="none"/>
              </w:rPr>
            </w:pPr>
            <w:r>
              <w:rPr>
                <w:b/>
                <w:bCs/>
                <w:color w:val="auto"/>
                <w:spacing w:val="-5"/>
                <w:sz w:val="22"/>
                <w:szCs w:val="22"/>
                <w:highlight w:val="none"/>
              </w:rPr>
              <w:t>486</w:t>
            </w:r>
          </w:p>
        </w:tc>
      </w:tr>
      <w:tr w14:paraId="0DACB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2178" w:type="dxa"/>
            <w:vAlign w:val="center"/>
          </w:tcPr>
          <w:p w14:paraId="270E9F10">
            <w:pPr>
              <w:pStyle w:val="22"/>
              <w:spacing w:before="0" w:line="400" w:lineRule="exact"/>
              <w:ind w:left="0"/>
              <w:jc w:val="center"/>
              <w:rPr>
                <w:color w:val="auto"/>
                <w:sz w:val="22"/>
                <w:szCs w:val="22"/>
                <w:highlight w:val="none"/>
              </w:rPr>
            </w:pPr>
            <w:r>
              <w:rPr>
                <w:color w:val="auto"/>
                <w:spacing w:val="-3"/>
                <w:sz w:val="22"/>
                <w:szCs w:val="22"/>
                <w:highlight w:val="none"/>
              </w:rPr>
              <w:t>水稳系数（</w:t>
            </w:r>
            <w:r>
              <w:rPr>
                <w:b/>
                <w:bCs/>
                <w:color w:val="auto"/>
                <w:spacing w:val="-3"/>
                <w:sz w:val="22"/>
                <w:szCs w:val="22"/>
                <w:highlight w:val="none"/>
              </w:rPr>
              <w:t>%</w:t>
            </w:r>
            <w:r>
              <w:rPr>
                <w:color w:val="auto"/>
                <w:spacing w:val="-3"/>
                <w:sz w:val="22"/>
                <w:szCs w:val="22"/>
                <w:highlight w:val="none"/>
              </w:rPr>
              <w:t>）</w:t>
            </w:r>
          </w:p>
        </w:tc>
        <w:tc>
          <w:tcPr>
            <w:tcW w:w="2173" w:type="dxa"/>
            <w:vAlign w:val="center"/>
          </w:tcPr>
          <w:p w14:paraId="4DF97708">
            <w:pPr>
              <w:pStyle w:val="22"/>
              <w:spacing w:before="0" w:line="400" w:lineRule="exact"/>
              <w:ind w:left="0"/>
              <w:jc w:val="center"/>
              <w:rPr>
                <w:color w:val="auto"/>
                <w:sz w:val="22"/>
                <w:szCs w:val="22"/>
                <w:highlight w:val="none"/>
              </w:rPr>
            </w:pPr>
            <w:r>
              <w:rPr>
                <w:color w:val="auto"/>
                <w:spacing w:val="-13"/>
                <w:sz w:val="22"/>
                <w:szCs w:val="22"/>
                <w:highlight w:val="none"/>
              </w:rPr>
              <w:t>≥</w:t>
            </w:r>
            <w:r>
              <w:rPr>
                <w:b/>
                <w:bCs/>
                <w:color w:val="auto"/>
                <w:spacing w:val="-13"/>
                <w:sz w:val="22"/>
                <w:szCs w:val="22"/>
                <w:highlight w:val="none"/>
              </w:rPr>
              <w:t>80</w:t>
            </w:r>
          </w:p>
        </w:tc>
        <w:tc>
          <w:tcPr>
            <w:tcW w:w="2780" w:type="dxa"/>
            <w:vAlign w:val="center"/>
          </w:tcPr>
          <w:p w14:paraId="7EEE5C2F">
            <w:pPr>
              <w:pStyle w:val="22"/>
              <w:spacing w:before="0" w:line="400" w:lineRule="exact"/>
              <w:ind w:left="0" w:right="0" w:firstLine="0"/>
              <w:jc w:val="center"/>
              <w:rPr>
                <w:color w:val="auto"/>
                <w:sz w:val="22"/>
                <w:szCs w:val="22"/>
                <w:highlight w:val="none"/>
              </w:rPr>
            </w:pPr>
            <w:r>
              <w:rPr>
                <w:color w:val="auto"/>
                <w:spacing w:val="-5"/>
                <w:sz w:val="22"/>
                <w:szCs w:val="22"/>
                <w:highlight w:val="none"/>
              </w:rPr>
              <w:t>相同配合比、相同工艺、</w:t>
            </w:r>
            <w:r>
              <w:rPr>
                <w:color w:val="auto"/>
                <w:spacing w:val="-7"/>
                <w:sz w:val="22"/>
                <w:szCs w:val="22"/>
                <w:highlight w:val="none"/>
              </w:rPr>
              <w:t>至少检验</w:t>
            </w:r>
            <w:r>
              <w:rPr>
                <w:color w:val="auto"/>
                <w:spacing w:val="-33"/>
                <w:sz w:val="22"/>
                <w:szCs w:val="22"/>
                <w:highlight w:val="none"/>
              </w:rPr>
              <w:t xml:space="preserve"> </w:t>
            </w:r>
            <w:r>
              <w:rPr>
                <w:b/>
                <w:bCs/>
                <w:color w:val="auto"/>
                <w:spacing w:val="-7"/>
                <w:sz w:val="22"/>
                <w:szCs w:val="22"/>
                <w:highlight w:val="none"/>
              </w:rPr>
              <w:t>1</w:t>
            </w:r>
            <w:r>
              <w:rPr>
                <w:color w:val="auto"/>
                <w:spacing w:val="-44"/>
                <w:sz w:val="22"/>
                <w:szCs w:val="22"/>
                <w:highlight w:val="none"/>
              </w:rPr>
              <w:t xml:space="preserve"> </w:t>
            </w:r>
            <w:r>
              <w:rPr>
                <w:color w:val="auto"/>
                <w:spacing w:val="-7"/>
                <w:sz w:val="22"/>
                <w:szCs w:val="22"/>
                <w:highlight w:val="none"/>
              </w:rPr>
              <w:t>次</w:t>
            </w:r>
          </w:p>
        </w:tc>
        <w:tc>
          <w:tcPr>
            <w:tcW w:w="2792" w:type="dxa"/>
            <w:vAlign w:val="center"/>
          </w:tcPr>
          <w:p w14:paraId="68D908B8">
            <w:pPr>
              <w:pStyle w:val="22"/>
              <w:spacing w:before="0" w:line="400" w:lineRule="exact"/>
              <w:ind w:left="0"/>
              <w:jc w:val="center"/>
              <w:rPr>
                <w:color w:val="auto"/>
                <w:sz w:val="22"/>
                <w:szCs w:val="22"/>
                <w:highlight w:val="none"/>
              </w:rPr>
            </w:pPr>
            <w:r>
              <w:rPr>
                <w:color w:val="auto"/>
                <w:spacing w:val="-7"/>
                <w:sz w:val="22"/>
                <w:szCs w:val="22"/>
                <w:highlight w:val="none"/>
              </w:rPr>
              <w:t>《土壤固化外加剂》</w:t>
            </w:r>
            <w:r>
              <w:rPr>
                <w:b/>
                <w:bCs/>
                <w:color w:val="auto"/>
                <w:spacing w:val="-7"/>
                <w:sz w:val="22"/>
                <w:szCs w:val="22"/>
                <w:highlight w:val="none"/>
              </w:rPr>
              <w:t>CJ/T</w:t>
            </w:r>
          </w:p>
          <w:p w14:paraId="10E56755">
            <w:pPr>
              <w:pStyle w:val="22"/>
              <w:spacing w:before="0" w:line="400" w:lineRule="exact"/>
              <w:ind w:left="0"/>
              <w:jc w:val="center"/>
              <w:rPr>
                <w:color w:val="auto"/>
                <w:sz w:val="22"/>
                <w:szCs w:val="22"/>
                <w:highlight w:val="none"/>
              </w:rPr>
            </w:pPr>
            <w:r>
              <w:rPr>
                <w:b/>
                <w:bCs/>
                <w:color w:val="auto"/>
                <w:spacing w:val="-5"/>
                <w:sz w:val="22"/>
                <w:szCs w:val="22"/>
                <w:highlight w:val="none"/>
              </w:rPr>
              <w:t>486</w:t>
            </w:r>
          </w:p>
        </w:tc>
      </w:tr>
      <w:tr w14:paraId="61302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178" w:type="dxa"/>
            <w:vAlign w:val="center"/>
          </w:tcPr>
          <w:p w14:paraId="11A4A018">
            <w:pPr>
              <w:pStyle w:val="22"/>
              <w:spacing w:before="0" w:line="400" w:lineRule="exact"/>
              <w:ind w:left="0"/>
              <w:jc w:val="center"/>
              <w:rPr>
                <w:color w:val="auto"/>
                <w:sz w:val="22"/>
                <w:szCs w:val="22"/>
                <w:highlight w:val="none"/>
              </w:rPr>
            </w:pPr>
            <w:r>
              <w:rPr>
                <w:color w:val="auto"/>
                <w:spacing w:val="-4"/>
                <w:sz w:val="22"/>
                <w:szCs w:val="22"/>
                <w:highlight w:val="none"/>
              </w:rPr>
              <w:t>含水率</w:t>
            </w:r>
          </w:p>
        </w:tc>
        <w:tc>
          <w:tcPr>
            <w:tcW w:w="2173" w:type="dxa"/>
            <w:vAlign w:val="center"/>
          </w:tcPr>
          <w:p w14:paraId="76D7424C">
            <w:pPr>
              <w:pStyle w:val="22"/>
              <w:spacing w:before="0" w:line="400" w:lineRule="exact"/>
              <w:ind w:left="0"/>
              <w:jc w:val="center"/>
              <w:rPr>
                <w:color w:val="auto"/>
                <w:sz w:val="22"/>
                <w:szCs w:val="22"/>
                <w:highlight w:val="none"/>
              </w:rPr>
            </w:pPr>
            <w:r>
              <w:rPr>
                <w:color w:val="auto"/>
                <w:spacing w:val="-3"/>
                <w:sz w:val="22"/>
                <w:szCs w:val="22"/>
                <w:highlight w:val="none"/>
              </w:rPr>
              <w:t>最佳含水率</w:t>
            </w:r>
            <w:r>
              <w:rPr>
                <w:b/>
                <w:bCs/>
                <w:color w:val="auto"/>
                <w:spacing w:val="-3"/>
                <w:sz w:val="22"/>
                <w:szCs w:val="22"/>
                <w:highlight w:val="none"/>
              </w:rPr>
              <w:t>+1%~2%</w:t>
            </w:r>
          </w:p>
        </w:tc>
        <w:tc>
          <w:tcPr>
            <w:tcW w:w="2780" w:type="dxa"/>
            <w:vAlign w:val="center"/>
          </w:tcPr>
          <w:p w14:paraId="757AFAE2">
            <w:pPr>
              <w:pStyle w:val="22"/>
              <w:spacing w:before="0" w:line="400" w:lineRule="exact"/>
              <w:ind w:left="0" w:right="0" w:firstLine="0"/>
              <w:jc w:val="center"/>
              <w:rPr>
                <w:color w:val="auto"/>
                <w:sz w:val="22"/>
                <w:szCs w:val="22"/>
                <w:highlight w:val="none"/>
              </w:rPr>
            </w:pPr>
            <w:r>
              <w:rPr>
                <w:color w:val="auto"/>
                <w:spacing w:val="-5"/>
                <w:sz w:val="22"/>
                <w:szCs w:val="22"/>
                <w:highlight w:val="none"/>
              </w:rPr>
              <w:t>相同配合比、相同工艺、</w:t>
            </w:r>
            <w:r>
              <w:rPr>
                <w:color w:val="auto"/>
                <w:spacing w:val="-7"/>
                <w:sz w:val="22"/>
                <w:szCs w:val="22"/>
                <w:highlight w:val="none"/>
              </w:rPr>
              <w:t>至少检验</w:t>
            </w:r>
            <w:r>
              <w:rPr>
                <w:color w:val="auto"/>
                <w:spacing w:val="-33"/>
                <w:sz w:val="22"/>
                <w:szCs w:val="22"/>
                <w:highlight w:val="none"/>
              </w:rPr>
              <w:t xml:space="preserve"> </w:t>
            </w:r>
            <w:r>
              <w:rPr>
                <w:b/>
                <w:bCs/>
                <w:color w:val="auto"/>
                <w:spacing w:val="-7"/>
                <w:sz w:val="22"/>
                <w:szCs w:val="22"/>
                <w:highlight w:val="none"/>
              </w:rPr>
              <w:t>1</w:t>
            </w:r>
            <w:r>
              <w:rPr>
                <w:color w:val="auto"/>
                <w:spacing w:val="-44"/>
                <w:sz w:val="22"/>
                <w:szCs w:val="22"/>
                <w:highlight w:val="none"/>
              </w:rPr>
              <w:t xml:space="preserve"> </w:t>
            </w:r>
            <w:r>
              <w:rPr>
                <w:color w:val="auto"/>
                <w:spacing w:val="-7"/>
                <w:sz w:val="22"/>
                <w:szCs w:val="22"/>
                <w:highlight w:val="none"/>
              </w:rPr>
              <w:t>次</w:t>
            </w:r>
          </w:p>
        </w:tc>
        <w:tc>
          <w:tcPr>
            <w:tcW w:w="2792" w:type="dxa"/>
            <w:vAlign w:val="center"/>
          </w:tcPr>
          <w:p w14:paraId="16501B95">
            <w:pPr>
              <w:pStyle w:val="22"/>
              <w:spacing w:before="0" w:line="400" w:lineRule="exact"/>
              <w:ind w:left="0"/>
              <w:jc w:val="center"/>
              <w:rPr>
                <w:color w:val="auto"/>
                <w:sz w:val="22"/>
                <w:szCs w:val="22"/>
                <w:highlight w:val="none"/>
              </w:rPr>
            </w:pPr>
            <w:r>
              <w:rPr>
                <w:color w:val="auto"/>
                <w:spacing w:val="-2"/>
                <w:sz w:val="22"/>
                <w:szCs w:val="22"/>
                <w:highlight w:val="none"/>
              </w:rPr>
              <w:t>《土工试验方法标准》</w:t>
            </w:r>
          </w:p>
          <w:p w14:paraId="1827DAC3">
            <w:pPr>
              <w:pStyle w:val="22"/>
              <w:spacing w:before="0" w:line="400" w:lineRule="exact"/>
              <w:ind w:left="0"/>
              <w:jc w:val="center"/>
              <w:rPr>
                <w:color w:val="auto"/>
                <w:sz w:val="22"/>
                <w:szCs w:val="22"/>
                <w:highlight w:val="none"/>
              </w:rPr>
            </w:pPr>
            <w:r>
              <w:rPr>
                <w:b/>
                <w:bCs/>
                <w:color w:val="auto"/>
                <w:spacing w:val="-5"/>
                <w:sz w:val="22"/>
                <w:szCs w:val="22"/>
                <w:highlight w:val="none"/>
              </w:rPr>
              <w:t>GB/T</w:t>
            </w:r>
            <w:r>
              <w:rPr>
                <w:color w:val="auto"/>
                <w:spacing w:val="17"/>
                <w:sz w:val="22"/>
                <w:szCs w:val="22"/>
                <w:highlight w:val="none"/>
              </w:rPr>
              <w:t xml:space="preserve"> </w:t>
            </w:r>
            <w:r>
              <w:rPr>
                <w:b/>
                <w:bCs/>
                <w:color w:val="auto"/>
                <w:spacing w:val="-5"/>
                <w:sz w:val="22"/>
                <w:szCs w:val="22"/>
                <w:highlight w:val="none"/>
              </w:rPr>
              <w:t>50123</w:t>
            </w:r>
          </w:p>
        </w:tc>
      </w:tr>
    </w:tbl>
    <w:p w14:paraId="01955B30">
      <w:pPr>
        <w:pStyle w:val="5"/>
        <w:spacing w:before="127" w:line="221" w:lineRule="auto"/>
        <w:ind w:left="224"/>
        <w:rPr>
          <w:color w:val="auto"/>
          <w:sz w:val="22"/>
          <w:szCs w:val="22"/>
          <w:highlight w:val="none"/>
        </w:rPr>
      </w:pPr>
      <w:r>
        <w:rPr>
          <w:color w:val="auto"/>
          <w:spacing w:val="-2"/>
          <w:sz w:val="22"/>
          <w:szCs w:val="22"/>
          <w:highlight w:val="none"/>
        </w:rPr>
        <w:t>注：出厂时固化土含水率宜比其最佳含水率高</w:t>
      </w:r>
      <w:r>
        <w:rPr>
          <w:color w:val="auto"/>
          <w:spacing w:val="-20"/>
          <w:sz w:val="22"/>
          <w:szCs w:val="22"/>
          <w:highlight w:val="none"/>
        </w:rPr>
        <w:t xml:space="preserve"> </w:t>
      </w:r>
      <w:r>
        <w:rPr>
          <w:b/>
          <w:bCs/>
          <w:color w:val="auto"/>
          <w:spacing w:val="-2"/>
          <w:sz w:val="22"/>
          <w:szCs w:val="22"/>
          <w:highlight w:val="none"/>
        </w:rPr>
        <w:t>1%~2%</w:t>
      </w:r>
      <w:r>
        <w:rPr>
          <w:color w:val="auto"/>
          <w:spacing w:val="-2"/>
          <w:sz w:val="22"/>
          <w:szCs w:val="22"/>
          <w:highlight w:val="none"/>
        </w:rPr>
        <w:t>。</w:t>
      </w:r>
    </w:p>
    <w:p w14:paraId="58491924">
      <w:pPr>
        <w:spacing w:before="269" w:line="222" w:lineRule="auto"/>
        <w:ind w:left="237"/>
        <w:outlineLvl w:val="9"/>
        <w:rPr>
          <w:rFonts w:ascii="黑体" w:hAnsi="黑体" w:eastAsia="黑体" w:cs="黑体"/>
          <w:b/>
          <w:bCs/>
          <w:color w:val="auto"/>
          <w:spacing w:val="-4"/>
          <w:sz w:val="22"/>
          <w:szCs w:val="22"/>
          <w:highlight w:val="none"/>
        </w:rPr>
      </w:pPr>
      <w:r>
        <w:rPr>
          <w:rFonts w:ascii="黑体" w:hAnsi="黑体" w:eastAsia="黑体" w:cs="黑体"/>
          <w:b/>
          <w:bCs/>
          <w:color w:val="auto"/>
          <w:spacing w:val="-4"/>
          <w:sz w:val="22"/>
          <w:szCs w:val="22"/>
          <w:highlight w:val="none"/>
        </w:rPr>
        <w:t>3、固化土原材料技术指标及检验要求</w:t>
      </w:r>
    </w:p>
    <w:p w14:paraId="4DE16B10">
      <w:pPr>
        <w:pStyle w:val="5"/>
        <w:spacing w:before="78" w:line="227" w:lineRule="auto"/>
        <w:ind w:left="230"/>
        <w:outlineLvl w:val="1"/>
        <w:rPr>
          <w:color w:val="auto"/>
          <w:sz w:val="22"/>
          <w:szCs w:val="22"/>
          <w:highlight w:val="none"/>
        </w:rPr>
      </w:pPr>
      <w:r>
        <w:rPr>
          <w:b/>
          <w:bCs/>
          <w:color w:val="auto"/>
          <w:spacing w:val="-6"/>
          <w:sz w:val="22"/>
          <w:szCs w:val="22"/>
          <w:highlight w:val="none"/>
        </w:rPr>
        <w:t>3.1</w:t>
      </w:r>
      <w:r>
        <w:rPr>
          <w:color w:val="auto"/>
          <w:spacing w:val="11"/>
          <w:sz w:val="22"/>
          <w:szCs w:val="22"/>
          <w:highlight w:val="none"/>
        </w:rPr>
        <w:t xml:space="preserve"> </w:t>
      </w:r>
      <w:r>
        <w:rPr>
          <w:b/>
          <w:bCs/>
          <w:color w:val="auto"/>
          <w:spacing w:val="-6"/>
          <w:sz w:val="22"/>
          <w:szCs w:val="22"/>
          <w:highlight w:val="none"/>
        </w:rPr>
        <w:t>基土</w:t>
      </w:r>
    </w:p>
    <w:p w14:paraId="322D596D">
      <w:pPr>
        <w:pStyle w:val="5"/>
        <w:spacing w:before="173" w:line="220" w:lineRule="auto"/>
        <w:ind w:left="667"/>
        <w:rPr>
          <w:color w:val="auto"/>
          <w:sz w:val="22"/>
          <w:szCs w:val="22"/>
          <w:highlight w:val="none"/>
        </w:rPr>
      </w:pPr>
      <w:r>
        <w:rPr>
          <w:b/>
          <w:bCs/>
          <w:color w:val="auto"/>
          <w:spacing w:val="-2"/>
          <w:sz w:val="22"/>
          <w:szCs w:val="22"/>
          <w:highlight w:val="none"/>
        </w:rPr>
        <w:t>1</w:t>
      </w:r>
      <w:r>
        <w:rPr>
          <w:color w:val="auto"/>
          <w:spacing w:val="-2"/>
          <w:sz w:val="22"/>
          <w:szCs w:val="22"/>
          <w:highlight w:val="none"/>
        </w:rPr>
        <w:t>）基土不得含草皮、树根、乱石、生活垃圾等杂物；</w:t>
      </w:r>
    </w:p>
    <w:p w14:paraId="55BF9159">
      <w:pPr>
        <w:pStyle w:val="5"/>
        <w:spacing w:before="181" w:line="290" w:lineRule="auto"/>
        <w:ind w:left="226" w:right="213" w:firstLine="426"/>
        <w:rPr>
          <w:color w:val="auto"/>
          <w:sz w:val="22"/>
          <w:szCs w:val="22"/>
          <w:highlight w:val="none"/>
        </w:rPr>
      </w:pPr>
      <w:r>
        <w:rPr>
          <w:b/>
          <w:bCs/>
          <w:color w:val="auto"/>
          <w:spacing w:val="2"/>
          <w:sz w:val="22"/>
          <w:szCs w:val="22"/>
          <w:highlight w:val="none"/>
        </w:rPr>
        <w:t>2</w:t>
      </w:r>
      <w:r>
        <w:rPr>
          <w:color w:val="auto"/>
          <w:spacing w:val="2"/>
          <w:sz w:val="22"/>
          <w:szCs w:val="22"/>
          <w:highlight w:val="none"/>
        </w:rPr>
        <w:t>）不得使用有机质含量高、成分复杂的地表</w:t>
      </w:r>
      <w:r>
        <w:rPr>
          <w:color w:val="auto"/>
          <w:spacing w:val="1"/>
          <w:sz w:val="22"/>
          <w:szCs w:val="22"/>
          <w:highlight w:val="none"/>
        </w:rPr>
        <w:t>耕植土、泥炭土、沼泽土、生活垃圾、腐</w:t>
      </w:r>
      <w:r>
        <w:rPr>
          <w:color w:val="auto"/>
          <w:spacing w:val="-3"/>
          <w:sz w:val="22"/>
          <w:szCs w:val="22"/>
          <w:highlight w:val="none"/>
        </w:rPr>
        <w:t>殖质土，有机质含量不得大于</w:t>
      </w:r>
      <w:r>
        <w:rPr>
          <w:color w:val="auto"/>
          <w:spacing w:val="-28"/>
          <w:sz w:val="22"/>
          <w:szCs w:val="22"/>
          <w:highlight w:val="none"/>
        </w:rPr>
        <w:t xml:space="preserve"> </w:t>
      </w:r>
      <w:r>
        <w:rPr>
          <w:b/>
          <w:bCs/>
          <w:color w:val="auto"/>
          <w:spacing w:val="-3"/>
          <w:sz w:val="22"/>
          <w:szCs w:val="22"/>
          <w:highlight w:val="none"/>
        </w:rPr>
        <w:t>10%</w:t>
      </w:r>
      <w:r>
        <w:rPr>
          <w:color w:val="auto"/>
          <w:spacing w:val="-3"/>
          <w:sz w:val="22"/>
          <w:szCs w:val="22"/>
          <w:highlight w:val="none"/>
        </w:rPr>
        <w:t>；</w:t>
      </w:r>
    </w:p>
    <w:p w14:paraId="10C4D0D7">
      <w:pPr>
        <w:pStyle w:val="5"/>
        <w:spacing w:before="182" w:line="220" w:lineRule="auto"/>
        <w:ind w:left="654"/>
        <w:rPr>
          <w:color w:val="auto"/>
          <w:sz w:val="22"/>
          <w:szCs w:val="22"/>
          <w:highlight w:val="none"/>
        </w:rPr>
      </w:pPr>
      <w:r>
        <w:rPr>
          <w:b/>
          <w:bCs/>
          <w:color w:val="auto"/>
          <w:spacing w:val="-1"/>
          <w:sz w:val="22"/>
          <w:szCs w:val="22"/>
          <w:highlight w:val="none"/>
        </w:rPr>
        <w:t>3</w:t>
      </w:r>
      <w:r>
        <w:rPr>
          <w:color w:val="auto"/>
          <w:spacing w:val="-1"/>
          <w:sz w:val="22"/>
          <w:szCs w:val="22"/>
          <w:highlight w:val="none"/>
        </w:rPr>
        <w:t>）工程渣土应进行分选、筛分及破碎等环节的预处理；</w:t>
      </w:r>
    </w:p>
    <w:p w14:paraId="104041FA">
      <w:pPr>
        <w:pStyle w:val="5"/>
        <w:spacing w:before="182" w:line="220" w:lineRule="auto"/>
        <w:ind w:left="649"/>
        <w:rPr>
          <w:color w:val="auto"/>
          <w:sz w:val="22"/>
          <w:szCs w:val="22"/>
          <w:highlight w:val="none"/>
        </w:rPr>
      </w:pPr>
      <w:r>
        <w:rPr>
          <w:b/>
          <w:bCs/>
          <w:color w:val="auto"/>
          <w:spacing w:val="-3"/>
          <w:sz w:val="22"/>
          <w:szCs w:val="22"/>
          <w:highlight w:val="none"/>
        </w:rPr>
        <w:t>4</w:t>
      </w:r>
      <w:r>
        <w:rPr>
          <w:color w:val="auto"/>
          <w:spacing w:val="-3"/>
          <w:sz w:val="22"/>
          <w:szCs w:val="22"/>
          <w:highlight w:val="none"/>
        </w:rPr>
        <w:t>）土粒最大粒径不应大于</w:t>
      </w:r>
      <w:r>
        <w:rPr>
          <w:color w:val="auto"/>
          <w:spacing w:val="-33"/>
          <w:sz w:val="22"/>
          <w:szCs w:val="22"/>
          <w:highlight w:val="none"/>
        </w:rPr>
        <w:t xml:space="preserve"> </w:t>
      </w:r>
      <w:r>
        <w:rPr>
          <w:b/>
          <w:bCs/>
          <w:color w:val="auto"/>
          <w:spacing w:val="-3"/>
          <w:sz w:val="22"/>
          <w:szCs w:val="22"/>
          <w:highlight w:val="none"/>
        </w:rPr>
        <w:t>15mm</w:t>
      </w:r>
      <w:r>
        <w:rPr>
          <w:color w:val="auto"/>
          <w:spacing w:val="-3"/>
          <w:sz w:val="22"/>
          <w:szCs w:val="22"/>
          <w:highlight w:val="none"/>
        </w:rPr>
        <w:t>，且大于</w:t>
      </w:r>
      <w:r>
        <w:rPr>
          <w:color w:val="auto"/>
          <w:spacing w:val="-33"/>
          <w:sz w:val="22"/>
          <w:szCs w:val="22"/>
          <w:highlight w:val="none"/>
        </w:rPr>
        <w:t xml:space="preserve"> </w:t>
      </w:r>
      <w:r>
        <w:rPr>
          <w:b/>
          <w:bCs/>
          <w:color w:val="auto"/>
          <w:spacing w:val="-3"/>
          <w:sz w:val="22"/>
          <w:szCs w:val="22"/>
          <w:highlight w:val="none"/>
        </w:rPr>
        <w:t>10mm</w:t>
      </w:r>
      <w:r>
        <w:rPr>
          <w:color w:val="auto"/>
          <w:spacing w:val="-50"/>
          <w:sz w:val="22"/>
          <w:szCs w:val="22"/>
          <w:highlight w:val="none"/>
        </w:rPr>
        <w:t xml:space="preserve"> </w:t>
      </w:r>
      <w:r>
        <w:rPr>
          <w:color w:val="auto"/>
          <w:spacing w:val="-3"/>
          <w:sz w:val="22"/>
          <w:szCs w:val="22"/>
          <w:highlight w:val="none"/>
        </w:rPr>
        <w:t>土颗粒应小于土总重量的</w:t>
      </w:r>
      <w:r>
        <w:rPr>
          <w:color w:val="auto"/>
          <w:spacing w:val="-46"/>
          <w:sz w:val="22"/>
          <w:szCs w:val="22"/>
          <w:highlight w:val="none"/>
        </w:rPr>
        <w:t xml:space="preserve"> </w:t>
      </w:r>
      <w:r>
        <w:rPr>
          <w:b/>
          <w:bCs/>
          <w:color w:val="auto"/>
          <w:spacing w:val="-3"/>
          <w:sz w:val="22"/>
          <w:szCs w:val="22"/>
          <w:highlight w:val="none"/>
        </w:rPr>
        <w:t>5</w:t>
      </w:r>
      <w:r>
        <w:rPr>
          <w:b/>
          <w:bCs/>
          <w:color w:val="auto"/>
          <w:spacing w:val="-4"/>
          <w:sz w:val="22"/>
          <w:szCs w:val="22"/>
          <w:highlight w:val="none"/>
        </w:rPr>
        <w:t>%</w:t>
      </w:r>
      <w:r>
        <w:rPr>
          <w:color w:val="auto"/>
          <w:spacing w:val="-4"/>
          <w:sz w:val="22"/>
          <w:szCs w:val="22"/>
          <w:highlight w:val="none"/>
        </w:rPr>
        <w:t>；</w:t>
      </w:r>
    </w:p>
    <w:p w14:paraId="731A089A">
      <w:pPr>
        <w:pStyle w:val="5"/>
        <w:spacing w:before="181" w:line="290" w:lineRule="auto"/>
        <w:ind w:left="3170" w:right="343" w:hanging="2516"/>
        <w:rPr>
          <w:color w:val="auto"/>
          <w:spacing w:val="-2"/>
          <w:sz w:val="22"/>
          <w:szCs w:val="22"/>
          <w:highlight w:val="none"/>
        </w:rPr>
      </w:pPr>
      <w:r>
        <w:rPr>
          <w:b/>
          <w:bCs/>
          <w:color w:val="auto"/>
          <w:spacing w:val="-2"/>
          <w:sz w:val="22"/>
          <w:szCs w:val="22"/>
          <w:highlight w:val="none"/>
        </w:rPr>
        <w:t>5</w:t>
      </w:r>
      <w:r>
        <w:rPr>
          <w:color w:val="auto"/>
          <w:spacing w:val="-2"/>
          <w:sz w:val="22"/>
          <w:szCs w:val="22"/>
          <w:highlight w:val="none"/>
        </w:rPr>
        <w:t>）基土土源应储量充足，试验结果必须满足技术要求，更换土源则需重新进行试验；</w:t>
      </w:r>
    </w:p>
    <w:p w14:paraId="531EB268">
      <w:pPr>
        <w:pStyle w:val="5"/>
        <w:spacing w:before="181" w:line="291" w:lineRule="auto"/>
        <w:ind w:left="0" w:right="0" w:firstLine="0"/>
        <w:jc w:val="center"/>
        <w:rPr>
          <w:color w:val="auto"/>
          <w:sz w:val="22"/>
          <w:szCs w:val="22"/>
          <w:highlight w:val="none"/>
        </w:rPr>
      </w:pPr>
      <w:r>
        <w:rPr>
          <w:color w:val="auto"/>
          <w:spacing w:val="-1"/>
          <w:sz w:val="22"/>
          <w:szCs w:val="22"/>
          <w:highlight w:val="none"/>
        </w:rPr>
        <w:t>表一：基土材料主要技术指标要求</w:t>
      </w:r>
    </w:p>
    <w:p w14:paraId="7871A78C">
      <w:pPr>
        <w:spacing w:line="70" w:lineRule="exact"/>
        <w:rPr>
          <w:color w:val="auto"/>
          <w:sz w:val="22"/>
          <w:highlight w:val="none"/>
        </w:rPr>
      </w:pPr>
    </w:p>
    <w:tbl>
      <w:tblPr>
        <w:tblStyle w:val="11"/>
        <w:tblW w:w="9717"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7"/>
        <w:gridCol w:w="2655"/>
        <w:gridCol w:w="2617"/>
        <w:gridCol w:w="2348"/>
      </w:tblGrid>
      <w:tr w14:paraId="0E780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97" w:type="dxa"/>
            <w:vAlign w:val="center"/>
          </w:tcPr>
          <w:p w14:paraId="22E7A4C0">
            <w:pPr>
              <w:pStyle w:val="22"/>
              <w:spacing w:before="0" w:line="400" w:lineRule="exact"/>
              <w:ind w:left="0"/>
              <w:jc w:val="center"/>
              <w:rPr>
                <w:color w:val="auto"/>
                <w:sz w:val="22"/>
                <w:szCs w:val="22"/>
                <w:highlight w:val="none"/>
              </w:rPr>
            </w:pPr>
            <w:r>
              <w:rPr>
                <w:color w:val="auto"/>
                <w:spacing w:val="-2"/>
                <w:sz w:val="22"/>
                <w:szCs w:val="22"/>
                <w:highlight w:val="none"/>
              </w:rPr>
              <w:t>检测项目</w:t>
            </w:r>
          </w:p>
        </w:tc>
        <w:tc>
          <w:tcPr>
            <w:tcW w:w="2655" w:type="dxa"/>
            <w:vAlign w:val="center"/>
          </w:tcPr>
          <w:p w14:paraId="094F6E6F">
            <w:pPr>
              <w:pStyle w:val="22"/>
              <w:spacing w:before="0" w:line="400" w:lineRule="exact"/>
              <w:ind w:left="0"/>
              <w:jc w:val="center"/>
              <w:rPr>
                <w:color w:val="auto"/>
                <w:sz w:val="22"/>
                <w:szCs w:val="22"/>
                <w:highlight w:val="none"/>
              </w:rPr>
            </w:pPr>
            <w:r>
              <w:rPr>
                <w:color w:val="auto"/>
                <w:spacing w:val="-3"/>
                <w:sz w:val="22"/>
                <w:szCs w:val="22"/>
                <w:highlight w:val="none"/>
              </w:rPr>
              <w:t>检测频次</w:t>
            </w:r>
          </w:p>
        </w:tc>
        <w:tc>
          <w:tcPr>
            <w:tcW w:w="2617" w:type="dxa"/>
            <w:vAlign w:val="center"/>
          </w:tcPr>
          <w:p w14:paraId="4BB545A5">
            <w:pPr>
              <w:pStyle w:val="22"/>
              <w:spacing w:before="0" w:line="400" w:lineRule="exact"/>
              <w:ind w:left="0"/>
              <w:jc w:val="center"/>
              <w:rPr>
                <w:color w:val="auto"/>
                <w:sz w:val="22"/>
                <w:szCs w:val="22"/>
                <w:highlight w:val="none"/>
              </w:rPr>
            </w:pPr>
            <w:r>
              <w:rPr>
                <w:color w:val="auto"/>
                <w:spacing w:val="-2"/>
                <w:sz w:val="22"/>
                <w:szCs w:val="22"/>
                <w:highlight w:val="none"/>
              </w:rPr>
              <w:t>性能指标</w:t>
            </w:r>
          </w:p>
        </w:tc>
        <w:tc>
          <w:tcPr>
            <w:tcW w:w="2348" w:type="dxa"/>
            <w:vAlign w:val="center"/>
          </w:tcPr>
          <w:p w14:paraId="499EFDA9">
            <w:pPr>
              <w:pStyle w:val="22"/>
              <w:spacing w:before="0" w:line="400" w:lineRule="exact"/>
              <w:ind w:left="0"/>
              <w:jc w:val="center"/>
              <w:rPr>
                <w:color w:val="auto"/>
                <w:sz w:val="22"/>
                <w:szCs w:val="22"/>
                <w:highlight w:val="none"/>
              </w:rPr>
            </w:pPr>
            <w:r>
              <w:rPr>
                <w:color w:val="auto"/>
                <w:spacing w:val="-2"/>
                <w:sz w:val="22"/>
                <w:szCs w:val="22"/>
                <w:highlight w:val="none"/>
              </w:rPr>
              <w:t>检测方法</w:t>
            </w:r>
          </w:p>
        </w:tc>
      </w:tr>
      <w:tr w14:paraId="199BE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2097" w:type="dxa"/>
            <w:vAlign w:val="center"/>
          </w:tcPr>
          <w:p w14:paraId="4F73000E">
            <w:pPr>
              <w:pStyle w:val="22"/>
              <w:spacing w:before="0" w:line="400" w:lineRule="exact"/>
              <w:ind w:left="0"/>
              <w:jc w:val="center"/>
              <w:rPr>
                <w:color w:val="auto"/>
                <w:sz w:val="22"/>
                <w:szCs w:val="22"/>
                <w:highlight w:val="none"/>
              </w:rPr>
            </w:pPr>
            <w:r>
              <w:rPr>
                <w:color w:val="auto"/>
                <w:spacing w:val="-3"/>
                <w:sz w:val="22"/>
                <w:szCs w:val="22"/>
                <w:highlight w:val="none"/>
              </w:rPr>
              <w:t>天然含水率（</w:t>
            </w:r>
            <w:r>
              <w:rPr>
                <w:b/>
                <w:bCs/>
                <w:color w:val="auto"/>
                <w:spacing w:val="-3"/>
                <w:sz w:val="22"/>
                <w:szCs w:val="22"/>
                <w:highlight w:val="none"/>
              </w:rPr>
              <w:t>%</w:t>
            </w:r>
            <w:r>
              <w:rPr>
                <w:color w:val="auto"/>
                <w:spacing w:val="-3"/>
                <w:sz w:val="22"/>
                <w:szCs w:val="22"/>
                <w:highlight w:val="none"/>
              </w:rPr>
              <w:t>）</w:t>
            </w:r>
          </w:p>
        </w:tc>
        <w:tc>
          <w:tcPr>
            <w:tcW w:w="2655" w:type="dxa"/>
            <w:vAlign w:val="center"/>
          </w:tcPr>
          <w:p w14:paraId="36229D27">
            <w:pPr>
              <w:pStyle w:val="22"/>
              <w:spacing w:before="0" w:line="400" w:lineRule="exact"/>
              <w:ind w:left="0"/>
              <w:jc w:val="center"/>
              <w:rPr>
                <w:color w:val="auto"/>
                <w:sz w:val="22"/>
                <w:szCs w:val="22"/>
                <w:highlight w:val="none"/>
              </w:rPr>
            </w:pPr>
            <w:r>
              <w:rPr>
                <w:color w:val="auto"/>
                <w:spacing w:val="-4"/>
                <w:sz w:val="22"/>
                <w:szCs w:val="22"/>
                <w:highlight w:val="none"/>
              </w:rPr>
              <w:t>相同土质至少检验</w:t>
            </w:r>
            <w:r>
              <w:rPr>
                <w:color w:val="auto"/>
                <w:spacing w:val="-33"/>
                <w:sz w:val="22"/>
                <w:szCs w:val="22"/>
                <w:highlight w:val="none"/>
              </w:rPr>
              <w:t xml:space="preserve"> </w:t>
            </w:r>
            <w:r>
              <w:rPr>
                <w:b/>
                <w:bCs/>
                <w:color w:val="auto"/>
                <w:spacing w:val="-4"/>
                <w:sz w:val="22"/>
                <w:szCs w:val="22"/>
                <w:highlight w:val="none"/>
              </w:rPr>
              <w:t>1</w:t>
            </w:r>
            <w:r>
              <w:rPr>
                <w:color w:val="auto"/>
                <w:spacing w:val="-45"/>
                <w:sz w:val="22"/>
                <w:szCs w:val="22"/>
                <w:highlight w:val="none"/>
              </w:rPr>
              <w:t xml:space="preserve"> </w:t>
            </w:r>
            <w:r>
              <w:rPr>
                <w:color w:val="auto"/>
                <w:spacing w:val="-4"/>
                <w:sz w:val="22"/>
                <w:szCs w:val="22"/>
                <w:highlight w:val="none"/>
              </w:rPr>
              <w:t>次</w:t>
            </w:r>
          </w:p>
        </w:tc>
        <w:tc>
          <w:tcPr>
            <w:tcW w:w="2617" w:type="dxa"/>
            <w:vAlign w:val="center"/>
          </w:tcPr>
          <w:p w14:paraId="2F03F88C">
            <w:pPr>
              <w:pStyle w:val="22"/>
              <w:spacing w:before="0" w:line="400" w:lineRule="exact"/>
              <w:ind w:left="0"/>
              <w:jc w:val="center"/>
              <w:rPr>
                <w:rFonts w:hint="default"/>
                <w:color w:val="auto"/>
                <w:sz w:val="22"/>
                <w:szCs w:val="22"/>
                <w:highlight w:val="none"/>
                <w:lang w:eastAsia="zh-CN"/>
              </w:rPr>
            </w:pPr>
            <w:r>
              <w:rPr>
                <w:rFonts w:hint="eastAsia"/>
                <w:color w:val="auto"/>
                <w:sz w:val="22"/>
                <w:szCs w:val="22"/>
                <w:highlight w:val="none"/>
                <w:lang w:val="en-US" w:eastAsia="zh-CN"/>
              </w:rPr>
              <w:t>---</w:t>
            </w:r>
          </w:p>
        </w:tc>
        <w:tc>
          <w:tcPr>
            <w:tcW w:w="2348" w:type="dxa"/>
            <w:vAlign w:val="center"/>
          </w:tcPr>
          <w:p w14:paraId="6C94955B">
            <w:pPr>
              <w:pStyle w:val="22"/>
              <w:spacing w:before="0" w:line="400" w:lineRule="exact"/>
              <w:ind w:left="0" w:right="222" w:hanging="120"/>
              <w:jc w:val="center"/>
              <w:rPr>
                <w:color w:val="auto"/>
                <w:sz w:val="22"/>
                <w:szCs w:val="22"/>
                <w:highlight w:val="none"/>
              </w:rPr>
            </w:pPr>
            <w:r>
              <w:rPr>
                <w:color w:val="auto"/>
                <w:spacing w:val="-3"/>
                <w:sz w:val="22"/>
                <w:szCs w:val="22"/>
                <w:highlight w:val="none"/>
              </w:rPr>
              <w:t>《土工试验方法标</w:t>
            </w:r>
            <w:r>
              <w:rPr>
                <w:color w:val="auto"/>
                <w:spacing w:val="-5"/>
                <w:sz w:val="22"/>
                <w:szCs w:val="22"/>
                <w:highlight w:val="none"/>
              </w:rPr>
              <w:t>准》</w:t>
            </w:r>
            <w:r>
              <w:rPr>
                <w:b/>
                <w:bCs/>
                <w:color w:val="auto"/>
                <w:spacing w:val="-5"/>
                <w:sz w:val="22"/>
                <w:szCs w:val="22"/>
                <w:highlight w:val="none"/>
              </w:rPr>
              <w:t>GB/T</w:t>
            </w:r>
            <w:r>
              <w:rPr>
                <w:color w:val="auto"/>
                <w:spacing w:val="22"/>
                <w:sz w:val="22"/>
                <w:szCs w:val="22"/>
                <w:highlight w:val="none"/>
              </w:rPr>
              <w:t xml:space="preserve"> </w:t>
            </w:r>
            <w:r>
              <w:rPr>
                <w:b/>
                <w:bCs/>
                <w:color w:val="auto"/>
                <w:spacing w:val="-5"/>
                <w:sz w:val="22"/>
                <w:szCs w:val="22"/>
                <w:highlight w:val="none"/>
              </w:rPr>
              <w:t>50123</w:t>
            </w:r>
          </w:p>
        </w:tc>
      </w:tr>
      <w:tr w14:paraId="19E45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2097" w:type="dxa"/>
            <w:vAlign w:val="center"/>
          </w:tcPr>
          <w:p w14:paraId="4E2CC31F">
            <w:pPr>
              <w:pStyle w:val="22"/>
              <w:spacing w:before="0" w:line="400" w:lineRule="exact"/>
              <w:ind w:left="0"/>
              <w:jc w:val="center"/>
              <w:rPr>
                <w:color w:val="auto"/>
                <w:sz w:val="22"/>
                <w:szCs w:val="22"/>
                <w:highlight w:val="none"/>
              </w:rPr>
            </w:pPr>
            <w:r>
              <w:rPr>
                <w:color w:val="auto"/>
                <w:spacing w:val="-3"/>
                <w:sz w:val="22"/>
                <w:szCs w:val="22"/>
                <w:highlight w:val="none"/>
              </w:rPr>
              <w:t>颗粒分析</w:t>
            </w:r>
          </w:p>
        </w:tc>
        <w:tc>
          <w:tcPr>
            <w:tcW w:w="2655" w:type="dxa"/>
            <w:vAlign w:val="center"/>
          </w:tcPr>
          <w:p w14:paraId="1F3AA1E8">
            <w:pPr>
              <w:pStyle w:val="22"/>
              <w:spacing w:before="0" w:line="400" w:lineRule="exact"/>
              <w:ind w:left="0"/>
              <w:jc w:val="center"/>
              <w:rPr>
                <w:color w:val="auto"/>
                <w:sz w:val="22"/>
                <w:szCs w:val="22"/>
                <w:highlight w:val="none"/>
              </w:rPr>
            </w:pPr>
            <w:r>
              <w:rPr>
                <w:color w:val="auto"/>
                <w:spacing w:val="-4"/>
                <w:sz w:val="22"/>
                <w:szCs w:val="22"/>
                <w:highlight w:val="none"/>
              </w:rPr>
              <w:t>相同土质至少检验</w:t>
            </w:r>
            <w:r>
              <w:rPr>
                <w:color w:val="auto"/>
                <w:spacing w:val="-33"/>
                <w:sz w:val="22"/>
                <w:szCs w:val="22"/>
                <w:highlight w:val="none"/>
              </w:rPr>
              <w:t xml:space="preserve"> </w:t>
            </w:r>
            <w:r>
              <w:rPr>
                <w:b/>
                <w:bCs/>
                <w:color w:val="auto"/>
                <w:spacing w:val="-4"/>
                <w:sz w:val="22"/>
                <w:szCs w:val="22"/>
                <w:highlight w:val="none"/>
              </w:rPr>
              <w:t>1</w:t>
            </w:r>
            <w:r>
              <w:rPr>
                <w:color w:val="auto"/>
                <w:spacing w:val="-45"/>
                <w:sz w:val="22"/>
                <w:szCs w:val="22"/>
                <w:highlight w:val="none"/>
              </w:rPr>
              <w:t xml:space="preserve"> </w:t>
            </w:r>
            <w:r>
              <w:rPr>
                <w:color w:val="auto"/>
                <w:spacing w:val="-4"/>
                <w:sz w:val="22"/>
                <w:szCs w:val="22"/>
                <w:highlight w:val="none"/>
              </w:rPr>
              <w:t>次</w:t>
            </w:r>
          </w:p>
        </w:tc>
        <w:tc>
          <w:tcPr>
            <w:tcW w:w="2617" w:type="dxa"/>
            <w:vAlign w:val="center"/>
          </w:tcPr>
          <w:p w14:paraId="0E10C995">
            <w:pPr>
              <w:pStyle w:val="22"/>
              <w:spacing w:before="0" w:line="400" w:lineRule="exact"/>
              <w:ind w:left="0"/>
              <w:jc w:val="center"/>
              <w:rPr>
                <w:color w:val="auto"/>
                <w:sz w:val="22"/>
                <w:szCs w:val="22"/>
                <w:highlight w:val="none"/>
              </w:rPr>
            </w:pPr>
            <w:r>
              <w:rPr>
                <w:color w:val="auto"/>
                <w:spacing w:val="-2"/>
                <w:sz w:val="22"/>
                <w:szCs w:val="22"/>
                <w:highlight w:val="none"/>
              </w:rPr>
              <w:t>最大粒径≤</w:t>
            </w:r>
            <w:r>
              <w:rPr>
                <w:b/>
                <w:bCs/>
                <w:color w:val="auto"/>
                <w:spacing w:val="-2"/>
                <w:sz w:val="22"/>
                <w:szCs w:val="22"/>
                <w:highlight w:val="none"/>
              </w:rPr>
              <w:t>15mm</w:t>
            </w:r>
            <w:r>
              <w:rPr>
                <w:color w:val="auto"/>
                <w:spacing w:val="-2"/>
                <w:sz w:val="22"/>
                <w:szCs w:val="22"/>
                <w:highlight w:val="none"/>
              </w:rPr>
              <w:t>，且</w:t>
            </w:r>
            <w:r>
              <w:rPr>
                <w:b/>
                <w:bCs/>
                <w:color w:val="auto"/>
                <w:spacing w:val="-7"/>
                <w:sz w:val="22"/>
                <w:szCs w:val="22"/>
                <w:highlight w:val="none"/>
              </w:rPr>
              <w:t>10mm</w:t>
            </w:r>
            <w:r>
              <w:rPr>
                <w:color w:val="auto"/>
                <w:spacing w:val="-22"/>
                <w:sz w:val="22"/>
                <w:szCs w:val="22"/>
                <w:highlight w:val="none"/>
              </w:rPr>
              <w:t xml:space="preserve"> </w:t>
            </w:r>
            <w:r>
              <w:rPr>
                <w:color w:val="auto"/>
                <w:spacing w:val="-7"/>
                <w:sz w:val="22"/>
                <w:szCs w:val="22"/>
                <w:highlight w:val="none"/>
              </w:rPr>
              <w:t>以上颗粒含量小</w:t>
            </w:r>
            <w:r>
              <w:rPr>
                <w:color w:val="auto"/>
                <w:spacing w:val="-9"/>
                <w:sz w:val="22"/>
                <w:szCs w:val="22"/>
                <w:highlight w:val="none"/>
              </w:rPr>
              <w:t>于</w:t>
            </w:r>
            <w:r>
              <w:rPr>
                <w:color w:val="auto"/>
                <w:spacing w:val="-46"/>
                <w:sz w:val="22"/>
                <w:szCs w:val="22"/>
                <w:highlight w:val="none"/>
              </w:rPr>
              <w:t xml:space="preserve"> </w:t>
            </w:r>
            <w:r>
              <w:rPr>
                <w:b/>
                <w:bCs/>
                <w:color w:val="auto"/>
                <w:spacing w:val="-9"/>
                <w:sz w:val="22"/>
                <w:szCs w:val="22"/>
                <w:highlight w:val="none"/>
              </w:rPr>
              <w:t>5%</w:t>
            </w:r>
          </w:p>
        </w:tc>
        <w:tc>
          <w:tcPr>
            <w:tcW w:w="2348" w:type="dxa"/>
            <w:vAlign w:val="center"/>
          </w:tcPr>
          <w:p w14:paraId="5F47EDE0">
            <w:pPr>
              <w:pStyle w:val="22"/>
              <w:spacing w:before="0" w:line="400" w:lineRule="exact"/>
              <w:ind w:left="0" w:right="222" w:hanging="120"/>
              <w:jc w:val="center"/>
              <w:rPr>
                <w:color w:val="auto"/>
                <w:sz w:val="22"/>
                <w:szCs w:val="22"/>
                <w:highlight w:val="none"/>
              </w:rPr>
            </w:pPr>
            <w:r>
              <w:rPr>
                <w:color w:val="auto"/>
                <w:spacing w:val="-3"/>
                <w:sz w:val="22"/>
                <w:szCs w:val="22"/>
                <w:highlight w:val="none"/>
              </w:rPr>
              <w:t>《土工试验方法标</w:t>
            </w:r>
            <w:r>
              <w:rPr>
                <w:color w:val="auto"/>
                <w:spacing w:val="-5"/>
                <w:sz w:val="22"/>
                <w:szCs w:val="22"/>
                <w:highlight w:val="none"/>
              </w:rPr>
              <w:t>准》</w:t>
            </w:r>
            <w:r>
              <w:rPr>
                <w:b/>
                <w:bCs/>
                <w:color w:val="auto"/>
                <w:spacing w:val="-5"/>
                <w:sz w:val="22"/>
                <w:szCs w:val="22"/>
                <w:highlight w:val="none"/>
              </w:rPr>
              <w:t>GB/T</w:t>
            </w:r>
            <w:r>
              <w:rPr>
                <w:color w:val="auto"/>
                <w:spacing w:val="22"/>
                <w:sz w:val="22"/>
                <w:szCs w:val="22"/>
                <w:highlight w:val="none"/>
              </w:rPr>
              <w:t xml:space="preserve"> </w:t>
            </w:r>
            <w:r>
              <w:rPr>
                <w:b/>
                <w:bCs/>
                <w:color w:val="auto"/>
                <w:spacing w:val="-5"/>
                <w:sz w:val="22"/>
                <w:szCs w:val="22"/>
                <w:highlight w:val="none"/>
              </w:rPr>
              <w:t>50123</w:t>
            </w:r>
          </w:p>
        </w:tc>
      </w:tr>
      <w:tr w14:paraId="1F3F8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2097" w:type="dxa"/>
            <w:vAlign w:val="center"/>
          </w:tcPr>
          <w:p w14:paraId="73565467">
            <w:pPr>
              <w:pStyle w:val="22"/>
              <w:spacing w:before="0" w:line="400" w:lineRule="exact"/>
              <w:ind w:left="0"/>
              <w:jc w:val="center"/>
              <w:rPr>
                <w:color w:val="auto"/>
                <w:sz w:val="22"/>
                <w:szCs w:val="22"/>
                <w:highlight w:val="none"/>
              </w:rPr>
            </w:pPr>
            <w:r>
              <w:rPr>
                <w:color w:val="auto"/>
                <w:spacing w:val="-3"/>
                <w:sz w:val="22"/>
                <w:szCs w:val="22"/>
                <w:highlight w:val="none"/>
              </w:rPr>
              <w:t>液限（</w:t>
            </w:r>
            <w:r>
              <w:rPr>
                <w:b/>
                <w:bCs/>
                <w:color w:val="auto"/>
                <w:spacing w:val="-3"/>
                <w:sz w:val="22"/>
                <w:szCs w:val="22"/>
                <w:highlight w:val="none"/>
              </w:rPr>
              <w:t>%</w:t>
            </w:r>
            <w:r>
              <w:rPr>
                <w:color w:val="auto"/>
                <w:spacing w:val="-3"/>
                <w:sz w:val="22"/>
                <w:szCs w:val="22"/>
                <w:highlight w:val="none"/>
              </w:rPr>
              <w:t>）</w:t>
            </w:r>
          </w:p>
        </w:tc>
        <w:tc>
          <w:tcPr>
            <w:tcW w:w="2655" w:type="dxa"/>
            <w:vAlign w:val="center"/>
          </w:tcPr>
          <w:p w14:paraId="28F7756B">
            <w:pPr>
              <w:pStyle w:val="22"/>
              <w:spacing w:before="0" w:line="400" w:lineRule="exact"/>
              <w:ind w:left="0"/>
              <w:jc w:val="center"/>
              <w:rPr>
                <w:color w:val="auto"/>
                <w:sz w:val="22"/>
                <w:szCs w:val="22"/>
                <w:highlight w:val="none"/>
              </w:rPr>
            </w:pPr>
            <w:r>
              <w:rPr>
                <w:color w:val="auto"/>
                <w:spacing w:val="-4"/>
                <w:sz w:val="22"/>
                <w:szCs w:val="22"/>
                <w:highlight w:val="none"/>
              </w:rPr>
              <w:t>相同土质至少检验</w:t>
            </w:r>
            <w:r>
              <w:rPr>
                <w:color w:val="auto"/>
                <w:spacing w:val="-33"/>
                <w:sz w:val="22"/>
                <w:szCs w:val="22"/>
                <w:highlight w:val="none"/>
              </w:rPr>
              <w:t xml:space="preserve"> </w:t>
            </w:r>
            <w:r>
              <w:rPr>
                <w:b/>
                <w:bCs/>
                <w:color w:val="auto"/>
                <w:spacing w:val="-4"/>
                <w:sz w:val="22"/>
                <w:szCs w:val="22"/>
                <w:highlight w:val="none"/>
              </w:rPr>
              <w:t>1</w:t>
            </w:r>
            <w:r>
              <w:rPr>
                <w:color w:val="auto"/>
                <w:spacing w:val="-45"/>
                <w:sz w:val="22"/>
                <w:szCs w:val="22"/>
                <w:highlight w:val="none"/>
              </w:rPr>
              <w:t xml:space="preserve"> </w:t>
            </w:r>
            <w:r>
              <w:rPr>
                <w:color w:val="auto"/>
                <w:spacing w:val="-4"/>
                <w:sz w:val="22"/>
                <w:szCs w:val="22"/>
                <w:highlight w:val="none"/>
              </w:rPr>
              <w:t>次</w:t>
            </w:r>
          </w:p>
        </w:tc>
        <w:tc>
          <w:tcPr>
            <w:tcW w:w="2617" w:type="dxa"/>
            <w:vAlign w:val="center"/>
          </w:tcPr>
          <w:p w14:paraId="7C253AE8">
            <w:pPr>
              <w:pStyle w:val="22"/>
              <w:spacing w:before="0" w:line="400" w:lineRule="exact"/>
              <w:ind w:left="0"/>
              <w:jc w:val="center"/>
              <w:rPr>
                <w:color w:val="auto"/>
                <w:sz w:val="22"/>
                <w:szCs w:val="22"/>
                <w:highlight w:val="none"/>
              </w:rPr>
            </w:pPr>
            <w:r>
              <w:rPr>
                <w:color w:val="auto"/>
                <w:spacing w:val="-11"/>
                <w:sz w:val="22"/>
                <w:szCs w:val="22"/>
                <w:highlight w:val="none"/>
              </w:rPr>
              <w:t>≤</w:t>
            </w:r>
            <w:r>
              <w:rPr>
                <w:b/>
                <w:bCs/>
                <w:color w:val="auto"/>
                <w:spacing w:val="-11"/>
                <w:sz w:val="22"/>
                <w:szCs w:val="22"/>
                <w:highlight w:val="none"/>
              </w:rPr>
              <w:t>50</w:t>
            </w:r>
          </w:p>
        </w:tc>
        <w:tc>
          <w:tcPr>
            <w:tcW w:w="2348" w:type="dxa"/>
            <w:vAlign w:val="center"/>
          </w:tcPr>
          <w:p w14:paraId="37FE2590">
            <w:pPr>
              <w:pStyle w:val="22"/>
              <w:spacing w:before="0" w:line="400" w:lineRule="exact"/>
              <w:ind w:left="0" w:right="222" w:hanging="120"/>
              <w:jc w:val="center"/>
              <w:rPr>
                <w:color w:val="auto"/>
                <w:sz w:val="22"/>
                <w:szCs w:val="22"/>
                <w:highlight w:val="none"/>
              </w:rPr>
            </w:pPr>
            <w:r>
              <w:rPr>
                <w:color w:val="auto"/>
                <w:spacing w:val="-3"/>
                <w:sz w:val="22"/>
                <w:szCs w:val="22"/>
                <w:highlight w:val="none"/>
              </w:rPr>
              <w:t>《土工试验方法标</w:t>
            </w:r>
            <w:r>
              <w:rPr>
                <w:color w:val="auto"/>
                <w:spacing w:val="-5"/>
                <w:sz w:val="22"/>
                <w:szCs w:val="22"/>
                <w:highlight w:val="none"/>
              </w:rPr>
              <w:t>准》</w:t>
            </w:r>
            <w:r>
              <w:rPr>
                <w:b/>
                <w:bCs/>
                <w:color w:val="auto"/>
                <w:spacing w:val="-5"/>
                <w:sz w:val="22"/>
                <w:szCs w:val="22"/>
                <w:highlight w:val="none"/>
              </w:rPr>
              <w:t>GB/T</w:t>
            </w:r>
            <w:r>
              <w:rPr>
                <w:color w:val="auto"/>
                <w:spacing w:val="22"/>
                <w:sz w:val="22"/>
                <w:szCs w:val="22"/>
                <w:highlight w:val="none"/>
              </w:rPr>
              <w:t xml:space="preserve"> </w:t>
            </w:r>
            <w:r>
              <w:rPr>
                <w:b/>
                <w:bCs/>
                <w:color w:val="auto"/>
                <w:spacing w:val="-5"/>
                <w:sz w:val="22"/>
                <w:szCs w:val="22"/>
                <w:highlight w:val="none"/>
              </w:rPr>
              <w:t>50123</w:t>
            </w:r>
          </w:p>
        </w:tc>
      </w:tr>
      <w:tr w14:paraId="7C453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2097" w:type="dxa"/>
            <w:vAlign w:val="center"/>
          </w:tcPr>
          <w:p w14:paraId="58FE5A95">
            <w:pPr>
              <w:pStyle w:val="22"/>
              <w:spacing w:before="0" w:line="400" w:lineRule="exact"/>
              <w:ind w:left="0"/>
              <w:jc w:val="center"/>
              <w:rPr>
                <w:color w:val="auto"/>
                <w:sz w:val="22"/>
                <w:szCs w:val="22"/>
                <w:highlight w:val="none"/>
              </w:rPr>
            </w:pPr>
            <w:r>
              <w:rPr>
                <w:color w:val="auto"/>
                <w:spacing w:val="-4"/>
                <w:sz w:val="22"/>
                <w:szCs w:val="22"/>
                <w:highlight w:val="none"/>
              </w:rPr>
              <w:t>塑性指数</w:t>
            </w:r>
          </w:p>
        </w:tc>
        <w:tc>
          <w:tcPr>
            <w:tcW w:w="2655" w:type="dxa"/>
            <w:vAlign w:val="center"/>
          </w:tcPr>
          <w:p w14:paraId="62713033">
            <w:pPr>
              <w:pStyle w:val="22"/>
              <w:spacing w:before="0" w:line="400" w:lineRule="exact"/>
              <w:ind w:left="0"/>
              <w:jc w:val="center"/>
              <w:rPr>
                <w:color w:val="auto"/>
                <w:sz w:val="22"/>
                <w:szCs w:val="22"/>
                <w:highlight w:val="none"/>
              </w:rPr>
            </w:pPr>
            <w:r>
              <w:rPr>
                <w:color w:val="auto"/>
                <w:spacing w:val="-4"/>
                <w:sz w:val="22"/>
                <w:szCs w:val="22"/>
                <w:highlight w:val="none"/>
              </w:rPr>
              <w:t>相同土质至少检验</w:t>
            </w:r>
            <w:r>
              <w:rPr>
                <w:color w:val="auto"/>
                <w:spacing w:val="-33"/>
                <w:sz w:val="22"/>
                <w:szCs w:val="22"/>
                <w:highlight w:val="none"/>
              </w:rPr>
              <w:t xml:space="preserve"> </w:t>
            </w:r>
            <w:r>
              <w:rPr>
                <w:b/>
                <w:bCs/>
                <w:color w:val="auto"/>
                <w:spacing w:val="-4"/>
                <w:sz w:val="22"/>
                <w:szCs w:val="22"/>
                <w:highlight w:val="none"/>
              </w:rPr>
              <w:t>1</w:t>
            </w:r>
            <w:r>
              <w:rPr>
                <w:color w:val="auto"/>
                <w:spacing w:val="-45"/>
                <w:sz w:val="22"/>
                <w:szCs w:val="22"/>
                <w:highlight w:val="none"/>
              </w:rPr>
              <w:t xml:space="preserve"> </w:t>
            </w:r>
            <w:r>
              <w:rPr>
                <w:color w:val="auto"/>
                <w:spacing w:val="-4"/>
                <w:sz w:val="22"/>
                <w:szCs w:val="22"/>
                <w:highlight w:val="none"/>
              </w:rPr>
              <w:t>次</w:t>
            </w:r>
          </w:p>
        </w:tc>
        <w:tc>
          <w:tcPr>
            <w:tcW w:w="2617" w:type="dxa"/>
            <w:vAlign w:val="center"/>
          </w:tcPr>
          <w:p w14:paraId="341D4D42">
            <w:pPr>
              <w:pStyle w:val="22"/>
              <w:spacing w:before="0" w:line="400" w:lineRule="exact"/>
              <w:ind w:left="0"/>
              <w:jc w:val="center"/>
              <w:rPr>
                <w:color w:val="auto"/>
                <w:sz w:val="22"/>
                <w:szCs w:val="22"/>
                <w:highlight w:val="none"/>
              </w:rPr>
            </w:pPr>
            <w:r>
              <w:rPr>
                <w:color w:val="auto"/>
                <w:spacing w:val="-11"/>
                <w:sz w:val="22"/>
                <w:szCs w:val="22"/>
                <w:highlight w:val="none"/>
              </w:rPr>
              <w:t>≤</w:t>
            </w:r>
            <w:r>
              <w:rPr>
                <w:b/>
                <w:bCs/>
                <w:color w:val="auto"/>
                <w:spacing w:val="-11"/>
                <w:sz w:val="22"/>
                <w:szCs w:val="22"/>
                <w:highlight w:val="none"/>
              </w:rPr>
              <w:t>26</w:t>
            </w:r>
          </w:p>
        </w:tc>
        <w:tc>
          <w:tcPr>
            <w:tcW w:w="2348" w:type="dxa"/>
            <w:vAlign w:val="center"/>
          </w:tcPr>
          <w:p w14:paraId="40A71E3A">
            <w:pPr>
              <w:pStyle w:val="22"/>
              <w:spacing w:before="0" w:line="400" w:lineRule="exact"/>
              <w:ind w:left="0" w:right="222" w:hanging="120"/>
              <w:jc w:val="center"/>
              <w:rPr>
                <w:color w:val="auto"/>
                <w:sz w:val="22"/>
                <w:szCs w:val="22"/>
                <w:highlight w:val="none"/>
              </w:rPr>
            </w:pPr>
            <w:r>
              <w:rPr>
                <w:color w:val="auto"/>
                <w:spacing w:val="-3"/>
                <w:sz w:val="22"/>
                <w:szCs w:val="22"/>
                <w:highlight w:val="none"/>
              </w:rPr>
              <w:t>《土工试验方法标</w:t>
            </w:r>
            <w:r>
              <w:rPr>
                <w:color w:val="auto"/>
                <w:spacing w:val="-5"/>
                <w:sz w:val="22"/>
                <w:szCs w:val="22"/>
                <w:highlight w:val="none"/>
              </w:rPr>
              <w:t>准》</w:t>
            </w:r>
            <w:r>
              <w:rPr>
                <w:b/>
                <w:bCs/>
                <w:color w:val="auto"/>
                <w:spacing w:val="-5"/>
                <w:sz w:val="22"/>
                <w:szCs w:val="22"/>
                <w:highlight w:val="none"/>
              </w:rPr>
              <w:t>GB/T</w:t>
            </w:r>
            <w:r>
              <w:rPr>
                <w:color w:val="auto"/>
                <w:spacing w:val="22"/>
                <w:sz w:val="22"/>
                <w:szCs w:val="22"/>
                <w:highlight w:val="none"/>
              </w:rPr>
              <w:t xml:space="preserve"> </w:t>
            </w:r>
            <w:r>
              <w:rPr>
                <w:b/>
                <w:bCs/>
                <w:color w:val="auto"/>
                <w:spacing w:val="-5"/>
                <w:sz w:val="22"/>
                <w:szCs w:val="22"/>
                <w:highlight w:val="none"/>
              </w:rPr>
              <w:t>50123</w:t>
            </w:r>
          </w:p>
        </w:tc>
      </w:tr>
      <w:tr w14:paraId="62736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97" w:type="dxa"/>
            <w:vAlign w:val="center"/>
          </w:tcPr>
          <w:p w14:paraId="0446FF3B">
            <w:pPr>
              <w:pStyle w:val="22"/>
              <w:spacing w:before="0" w:line="400" w:lineRule="exact"/>
              <w:ind w:left="0"/>
              <w:jc w:val="center"/>
              <w:rPr>
                <w:color w:val="auto"/>
                <w:sz w:val="22"/>
                <w:szCs w:val="22"/>
                <w:highlight w:val="none"/>
              </w:rPr>
            </w:pPr>
            <w:r>
              <w:rPr>
                <w:color w:val="auto"/>
                <w:spacing w:val="-2"/>
                <w:sz w:val="22"/>
                <w:szCs w:val="22"/>
                <w:highlight w:val="none"/>
              </w:rPr>
              <w:t>有机质含量（</w:t>
            </w:r>
            <w:r>
              <w:rPr>
                <w:b/>
                <w:bCs/>
                <w:color w:val="auto"/>
                <w:spacing w:val="-2"/>
                <w:sz w:val="22"/>
                <w:szCs w:val="22"/>
                <w:highlight w:val="none"/>
              </w:rPr>
              <w:t>%</w:t>
            </w:r>
            <w:r>
              <w:rPr>
                <w:color w:val="auto"/>
                <w:spacing w:val="-2"/>
                <w:sz w:val="22"/>
                <w:szCs w:val="22"/>
                <w:highlight w:val="none"/>
              </w:rPr>
              <w:t>）</w:t>
            </w:r>
          </w:p>
        </w:tc>
        <w:tc>
          <w:tcPr>
            <w:tcW w:w="2655" w:type="dxa"/>
            <w:vAlign w:val="center"/>
          </w:tcPr>
          <w:p w14:paraId="141CDAD5">
            <w:pPr>
              <w:pStyle w:val="22"/>
              <w:spacing w:before="0" w:line="400" w:lineRule="exact"/>
              <w:ind w:left="0"/>
              <w:jc w:val="center"/>
              <w:rPr>
                <w:color w:val="auto"/>
                <w:sz w:val="22"/>
                <w:szCs w:val="22"/>
                <w:highlight w:val="none"/>
              </w:rPr>
            </w:pPr>
            <w:r>
              <w:rPr>
                <w:color w:val="auto"/>
                <w:spacing w:val="-4"/>
                <w:sz w:val="22"/>
                <w:szCs w:val="22"/>
                <w:highlight w:val="none"/>
              </w:rPr>
              <w:t>相同土质至少检验</w:t>
            </w:r>
            <w:r>
              <w:rPr>
                <w:color w:val="auto"/>
                <w:spacing w:val="-33"/>
                <w:sz w:val="22"/>
                <w:szCs w:val="22"/>
                <w:highlight w:val="none"/>
              </w:rPr>
              <w:t xml:space="preserve"> </w:t>
            </w:r>
            <w:r>
              <w:rPr>
                <w:b/>
                <w:bCs/>
                <w:color w:val="auto"/>
                <w:spacing w:val="-4"/>
                <w:sz w:val="22"/>
                <w:szCs w:val="22"/>
                <w:highlight w:val="none"/>
              </w:rPr>
              <w:t>1</w:t>
            </w:r>
            <w:r>
              <w:rPr>
                <w:color w:val="auto"/>
                <w:spacing w:val="-45"/>
                <w:sz w:val="22"/>
                <w:szCs w:val="22"/>
                <w:highlight w:val="none"/>
              </w:rPr>
              <w:t xml:space="preserve"> </w:t>
            </w:r>
            <w:r>
              <w:rPr>
                <w:color w:val="auto"/>
                <w:spacing w:val="-4"/>
                <w:sz w:val="22"/>
                <w:szCs w:val="22"/>
                <w:highlight w:val="none"/>
              </w:rPr>
              <w:t>次</w:t>
            </w:r>
          </w:p>
        </w:tc>
        <w:tc>
          <w:tcPr>
            <w:tcW w:w="2617" w:type="dxa"/>
            <w:vAlign w:val="center"/>
          </w:tcPr>
          <w:p w14:paraId="0E29378C">
            <w:pPr>
              <w:pStyle w:val="22"/>
              <w:spacing w:before="0" w:line="400" w:lineRule="exact"/>
              <w:ind w:left="0"/>
              <w:jc w:val="center"/>
              <w:rPr>
                <w:color w:val="auto"/>
                <w:sz w:val="22"/>
                <w:szCs w:val="22"/>
                <w:highlight w:val="none"/>
              </w:rPr>
            </w:pPr>
            <w:r>
              <w:rPr>
                <w:color w:val="auto"/>
                <w:spacing w:val="-11"/>
                <w:sz w:val="22"/>
                <w:szCs w:val="22"/>
                <w:highlight w:val="none"/>
              </w:rPr>
              <w:t>≤</w:t>
            </w:r>
            <w:r>
              <w:rPr>
                <w:b/>
                <w:bCs/>
                <w:color w:val="auto"/>
                <w:spacing w:val="-11"/>
                <w:sz w:val="22"/>
                <w:szCs w:val="22"/>
                <w:highlight w:val="none"/>
              </w:rPr>
              <w:t>10</w:t>
            </w:r>
          </w:p>
        </w:tc>
        <w:tc>
          <w:tcPr>
            <w:tcW w:w="2348" w:type="dxa"/>
            <w:vAlign w:val="center"/>
          </w:tcPr>
          <w:p w14:paraId="45E47D37">
            <w:pPr>
              <w:pStyle w:val="22"/>
              <w:spacing w:before="0" w:line="400" w:lineRule="exact"/>
              <w:ind w:left="0" w:right="222" w:hanging="120"/>
              <w:jc w:val="center"/>
              <w:rPr>
                <w:color w:val="auto"/>
                <w:sz w:val="22"/>
                <w:szCs w:val="22"/>
                <w:highlight w:val="none"/>
              </w:rPr>
            </w:pPr>
            <w:r>
              <w:rPr>
                <w:color w:val="auto"/>
                <w:spacing w:val="-3"/>
                <w:sz w:val="22"/>
                <w:szCs w:val="22"/>
                <w:highlight w:val="none"/>
              </w:rPr>
              <w:t>《土工试验方法标</w:t>
            </w:r>
            <w:r>
              <w:rPr>
                <w:color w:val="auto"/>
                <w:spacing w:val="-5"/>
                <w:sz w:val="22"/>
                <w:szCs w:val="22"/>
                <w:highlight w:val="none"/>
              </w:rPr>
              <w:t>准》</w:t>
            </w:r>
            <w:r>
              <w:rPr>
                <w:b/>
                <w:bCs/>
                <w:color w:val="auto"/>
                <w:spacing w:val="-5"/>
                <w:sz w:val="22"/>
                <w:szCs w:val="22"/>
                <w:highlight w:val="none"/>
              </w:rPr>
              <w:t>GB/T</w:t>
            </w:r>
            <w:r>
              <w:rPr>
                <w:color w:val="auto"/>
                <w:spacing w:val="22"/>
                <w:sz w:val="22"/>
                <w:szCs w:val="22"/>
                <w:highlight w:val="none"/>
              </w:rPr>
              <w:t xml:space="preserve"> </w:t>
            </w:r>
            <w:r>
              <w:rPr>
                <w:b/>
                <w:bCs/>
                <w:color w:val="auto"/>
                <w:spacing w:val="-5"/>
                <w:sz w:val="22"/>
                <w:szCs w:val="22"/>
                <w:highlight w:val="none"/>
              </w:rPr>
              <w:t>50123</w:t>
            </w:r>
          </w:p>
        </w:tc>
      </w:tr>
    </w:tbl>
    <w:p w14:paraId="1EA51858">
      <w:pPr>
        <w:pStyle w:val="5"/>
        <w:spacing w:before="268" w:line="220" w:lineRule="auto"/>
        <w:ind w:left="230"/>
        <w:outlineLvl w:val="1"/>
        <w:rPr>
          <w:color w:val="auto"/>
          <w:sz w:val="22"/>
          <w:szCs w:val="22"/>
          <w:highlight w:val="none"/>
        </w:rPr>
      </w:pPr>
      <w:r>
        <w:rPr>
          <w:b/>
          <w:bCs/>
          <w:color w:val="auto"/>
          <w:spacing w:val="-3"/>
          <w:sz w:val="22"/>
          <w:szCs w:val="22"/>
          <w:highlight w:val="none"/>
        </w:rPr>
        <w:t>3.2</w:t>
      </w:r>
      <w:r>
        <w:rPr>
          <w:color w:val="auto"/>
          <w:spacing w:val="-3"/>
          <w:sz w:val="22"/>
          <w:szCs w:val="22"/>
          <w:highlight w:val="none"/>
        </w:rPr>
        <w:t xml:space="preserve"> </w:t>
      </w:r>
      <w:r>
        <w:rPr>
          <w:b/>
          <w:bCs/>
          <w:color w:val="auto"/>
          <w:spacing w:val="-3"/>
          <w:sz w:val="22"/>
          <w:szCs w:val="22"/>
          <w:highlight w:val="none"/>
        </w:rPr>
        <w:t>土壤固化外加剂</w:t>
      </w:r>
    </w:p>
    <w:p w14:paraId="4C39F24F">
      <w:pPr>
        <w:pStyle w:val="5"/>
        <w:spacing w:before="123" w:line="360" w:lineRule="auto"/>
        <w:ind w:left="0" w:right="108" w:firstLine="636" w:firstLineChars="300"/>
        <w:rPr>
          <w:color w:val="auto"/>
          <w:sz w:val="22"/>
          <w:szCs w:val="22"/>
          <w:highlight w:val="none"/>
        </w:rPr>
      </w:pPr>
      <w:r>
        <w:rPr>
          <w:color w:val="auto"/>
          <w:spacing w:val="-4"/>
          <w:sz w:val="22"/>
          <w:szCs w:val="22"/>
          <w:highlight w:val="none"/>
        </w:rPr>
        <w:t>市场中土壤固化外加剂形式多样，本工程土壤固化剂指《土壤固化外加剂》（</w:t>
      </w:r>
      <w:r>
        <w:rPr>
          <w:b/>
          <w:bCs/>
          <w:color w:val="auto"/>
          <w:spacing w:val="-4"/>
          <w:sz w:val="22"/>
          <w:szCs w:val="22"/>
          <w:highlight w:val="none"/>
        </w:rPr>
        <w:t>CJ/T486</w:t>
      </w:r>
      <w:r>
        <w:rPr>
          <w:color w:val="auto"/>
          <w:spacing w:val="-4"/>
          <w:sz w:val="22"/>
          <w:szCs w:val="22"/>
          <w:highlight w:val="none"/>
        </w:rPr>
        <w:t>）</w:t>
      </w:r>
      <w:r>
        <w:rPr>
          <w:color w:val="auto"/>
          <w:spacing w:val="-3"/>
          <w:sz w:val="22"/>
          <w:szCs w:val="22"/>
          <w:highlight w:val="none"/>
        </w:rPr>
        <w:t>中所规定的土壤固化剂，需满足该标准所规定的固化剂均质</w:t>
      </w:r>
      <w:r>
        <w:rPr>
          <w:color w:val="auto"/>
          <w:spacing w:val="-4"/>
          <w:sz w:val="22"/>
          <w:szCs w:val="22"/>
          <w:highlight w:val="none"/>
        </w:rPr>
        <w:t>性指标、液体土壤固化外加剂的</w:t>
      </w:r>
      <w:r>
        <w:rPr>
          <w:color w:val="auto"/>
          <w:spacing w:val="-1"/>
          <w:sz w:val="22"/>
          <w:szCs w:val="22"/>
          <w:highlight w:val="none"/>
        </w:rPr>
        <w:t>稳定性、可溶性重金属离子含量、检测试件性能指标等要求。</w:t>
      </w:r>
    </w:p>
    <w:p w14:paraId="252C0C07">
      <w:pPr>
        <w:pStyle w:val="5"/>
        <w:spacing w:line="219" w:lineRule="auto"/>
        <w:ind w:left="2708"/>
        <w:outlineLvl w:val="2"/>
        <w:rPr>
          <w:color w:val="auto"/>
          <w:sz w:val="22"/>
          <w:szCs w:val="22"/>
          <w:highlight w:val="none"/>
        </w:rPr>
      </w:pPr>
      <w:r>
        <w:rPr>
          <w:color w:val="auto"/>
          <w:spacing w:val="-1"/>
          <w:sz w:val="22"/>
          <w:szCs w:val="22"/>
          <w:highlight w:val="none"/>
        </w:rPr>
        <w:t>表二：土壤固化外加剂主要技术指标要求</w:t>
      </w:r>
    </w:p>
    <w:p w14:paraId="7031E400">
      <w:pPr>
        <w:spacing w:line="69" w:lineRule="exact"/>
        <w:rPr>
          <w:color w:val="auto"/>
          <w:sz w:val="22"/>
          <w:highlight w:val="none"/>
        </w:rPr>
      </w:pPr>
    </w:p>
    <w:tbl>
      <w:tblPr>
        <w:tblStyle w:val="11"/>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5"/>
        <w:gridCol w:w="5129"/>
        <w:gridCol w:w="1909"/>
        <w:gridCol w:w="1384"/>
      </w:tblGrid>
      <w:tr w14:paraId="76419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95" w:type="dxa"/>
            <w:vAlign w:val="center"/>
          </w:tcPr>
          <w:p w14:paraId="4B54E925">
            <w:pPr>
              <w:pStyle w:val="22"/>
              <w:spacing w:before="0" w:line="400" w:lineRule="exact"/>
              <w:ind w:left="0"/>
              <w:jc w:val="center"/>
              <w:rPr>
                <w:color w:val="auto"/>
                <w:sz w:val="22"/>
                <w:szCs w:val="22"/>
                <w:highlight w:val="none"/>
              </w:rPr>
            </w:pPr>
            <w:r>
              <w:rPr>
                <w:color w:val="auto"/>
                <w:spacing w:val="-2"/>
                <w:sz w:val="22"/>
                <w:szCs w:val="22"/>
                <w:highlight w:val="none"/>
              </w:rPr>
              <w:t>检测项目</w:t>
            </w:r>
          </w:p>
        </w:tc>
        <w:tc>
          <w:tcPr>
            <w:tcW w:w="5129" w:type="dxa"/>
            <w:vAlign w:val="top"/>
          </w:tcPr>
          <w:p w14:paraId="4EF50827">
            <w:pPr>
              <w:pStyle w:val="22"/>
              <w:spacing w:before="193" w:line="210" w:lineRule="auto"/>
              <w:ind w:left="2088"/>
              <w:rPr>
                <w:color w:val="auto"/>
                <w:sz w:val="22"/>
                <w:szCs w:val="22"/>
                <w:highlight w:val="none"/>
              </w:rPr>
            </w:pPr>
            <w:r>
              <w:rPr>
                <w:color w:val="auto"/>
                <w:spacing w:val="-2"/>
                <w:sz w:val="22"/>
                <w:szCs w:val="22"/>
                <w:highlight w:val="none"/>
              </w:rPr>
              <w:t>性能指标</w:t>
            </w:r>
          </w:p>
        </w:tc>
        <w:tc>
          <w:tcPr>
            <w:tcW w:w="1909" w:type="dxa"/>
            <w:vAlign w:val="top"/>
          </w:tcPr>
          <w:p w14:paraId="65CDC634">
            <w:pPr>
              <w:pStyle w:val="22"/>
              <w:spacing w:before="193" w:line="210" w:lineRule="auto"/>
              <w:ind w:left="480"/>
              <w:rPr>
                <w:color w:val="auto"/>
                <w:sz w:val="22"/>
                <w:szCs w:val="22"/>
                <w:highlight w:val="none"/>
              </w:rPr>
            </w:pPr>
            <w:r>
              <w:rPr>
                <w:color w:val="auto"/>
                <w:spacing w:val="-3"/>
                <w:sz w:val="22"/>
                <w:szCs w:val="22"/>
                <w:highlight w:val="none"/>
              </w:rPr>
              <w:t>检测频次</w:t>
            </w:r>
          </w:p>
        </w:tc>
        <w:tc>
          <w:tcPr>
            <w:tcW w:w="1384" w:type="dxa"/>
            <w:vAlign w:val="top"/>
          </w:tcPr>
          <w:p w14:paraId="293295FE">
            <w:pPr>
              <w:pStyle w:val="22"/>
              <w:spacing w:before="193" w:line="210" w:lineRule="auto"/>
              <w:ind w:left="215"/>
              <w:rPr>
                <w:color w:val="auto"/>
                <w:sz w:val="22"/>
                <w:szCs w:val="22"/>
                <w:highlight w:val="none"/>
              </w:rPr>
            </w:pPr>
            <w:r>
              <w:rPr>
                <w:color w:val="auto"/>
                <w:spacing w:val="-2"/>
                <w:sz w:val="22"/>
                <w:szCs w:val="22"/>
                <w:highlight w:val="none"/>
              </w:rPr>
              <w:t>检测方法</w:t>
            </w:r>
          </w:p>
        </w:tc>
      </w:tr>
      <w:tr w14:paraId="3B8C8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6" w:hRule="atLeast"/>
        </w:trPr>
        <w:tc>
          <w:tcPr>
            <w:tcW w:w="1295" w:type="dxa"/>
            <w:vAlign w:val="center"/>
          </w:tcPr>
          <w:p w14:paraId="6FA87057">
            <w:pPr>
              <w:pStyle w:val="22"/>
              <w:spacing w:before="0" w:line="400" w:lineRule="exact"/>
              <w:ind w:left="0"/>
              <w:jc w:val="center"/>
              <w:rPr>
                <w:color w:val="auto"/>
                <w:sz w:val="22"/>
                <w:szCs w:val="22"/>
                <w:highlight w:val="none"/>
              </w:rPr>
            </w:pPr>
            <w:r>
              <w:rPr>
                <w:color w:val="auto"/>
                <w:spacing w:val="-3"/>
                <w:sz w:val="22"/>
                <w:szCs w:val="22"/>
                <w:highlight w:val="none"/>
              </w:rPr>
              <w:t>可溶性重金属离子</w:t>
            </w:r>
            <w:r>
              <w:rPr>
                <w:color w:val="auto"/>
                <w:spacing w:val="-5"/>
                <w:sz w:val="22"/>
                <w:szCs w:val="22"/>
                <w:highlight w:val="none"/>
              </w:rPr>
              <w:t>含量</w:t>
            </w:r>
          </w:p>
        </w:tc>
        <w:tc>
          <w:tcPr>
            <w:tcW w:w="5129" w:type="dxa"/>
            <w:vAlign w:val="top"/>
          </w:tcPr>
          <w:p w14:paraId="5ACD8E68">
            <w:pPr>
              <w:spacing w:before="216" w:line="4245" w:lineRule="exact"/>
              <w:ind w:firstLine="101"/>
              <w:rPr>
                <w:color w:val="auto"/>
                <w:sz w:val="22"/>
                <w:highlight w:val="none"/>
              </w:rPr>
            </w:pPr>
            <w:r>
              <w:rPr>
                <w:rFonts w:ascii="Calibri" w:hAnsi="Calibri" w:eastAsia="宋体" w:cs="黑体"/>
                <w:color w:val="auto"/>
                <w:kern w:val="2"/>
                <w:position w:val="-84"/>
                <w:sz w:val="22"/>
                <w:szCs w:val="22"/>
                <w:highlight w:val="none"/>
                <w:lang w:val="en-US" w:eastAsia="zh-CN" w:bidi="ar-SA"/>
              </w:rPr>
              <w:drawing>
                <wp:inline distT="0" distB="0" distL="114300" distR="114300">
                  <wp:extent cx="3121025" cy="2695575"/>
                  <wp:effectExtent l="0" t="0" r="3175" b="9525"/>
                  <wp:docPr id="1"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29"/>
                          <pic:cNvPicPr>
                            <a:picLocks noChangeAspect="1"/>
                          </pic:cNvPicPr>
                        </pic:nvPicPr>
                        <pic:blipFill>
                          <a:blip r:embed="rId12">
                            <a:lum/>
                          </a:blip>
                          <a:stretch>
                            <a:fillRect/>
                          </a:stretch>
                        </pic:blipFill>
                        <pic:spPr>
                          <a:xfrm>
                            <a:off x="0" y="0"/>
                            <a:ext cx="3121025" cy="2695575"/>
                          </a:xfrm>
                          <a:prstGeom prst="rect">
                            <a:avLst/>
                          </a:prstGeom>
                          <a:noFill/>
                          <a:ln>
                            <a:noFill/>
                          </a:ln>
                        </pic:spPr>
                      </pic:pic>
                    </a:graphicData>
                  </a:graphic>
                </wp:inline>
              </w:drawing>
            </w:r>
          </w:p>
        </w:tc>
        <w:tc>
          <w:tcPr>
            <w:tcW w:w="1909" w:type="dxa"/>
            <w:vAlign w:val="center"/>
          </w:tcPr>
          <w:p w14:paraId="1A482065">
            <w:pPr>
              <w:pStyle w:val="22"/>
              <w:spacing w:before="78" w:line="241" w:lineRule="auto"/>
              <w:ind w:left="120" w:right="112" w:firstLine="3"/>
              <w:jc w:val="center"/>
              <w:rPr>
                <w:color w:val="auto"/>
                <w:sz w:val="22"/>
                <w:szCs w:val="22"/>
                <w:highlight w:val="none"/>
              </w:rPr>
            </w:pPr>
            <w:r>
              <w:rPr>
                <w:color w:val="auto"/>
                <w:spacing w:val="3"/>
                <w:sz w:val="22"/>
                <w:szCs w:val="22"/>
                <w:highlight w:val="none"/>
              </w:rPr>
              <w:t>不超过</w:t>
            </w:r>
            <w:r>
              <w:rPr>
                <w:b/>
                <w:bCs/>
                <w:color w:val="auto"/>
                <w:spacing w:val="3"/>
                <w:sz w:val="22"/>
                <w:szCs w:val="22"/>
                <w:highlight w:val="none"/>
              </w:rPr>
              <w:t>20t</w:t>
            </w:r>
            <w:r>
              <w:rPr>
                <w:color w:val="auto"/>
                <w:spacing w:val="-46"/>
                <w:sz w:val="22"/>
                <w:szCs w:val="22"/>
                <w:highlight w:val="none"/>
              </w:rPr>
              <w:t xml:space="preserve"> </w:t>
            </w:r>
            <w:r>
              <w:rPr>
                <w:color w:val="auto"/>
                <w:spacing w:val="3"/>
                <w:sz w:val="22"/>
                <w:szCs w:val="22"/>
                <w:highlight w:val="none"/>
              </w:rPr>
              <w:t>为一</w:t>
            </w:r>
            <w:r>
              <w:rPr>
                <w:color w:val="auto"/>
                <w:spacing w:val="-2"/>
                <w:sz w:val="22"/>
                <w:szCs w:val="22"/>
                <w:highlight w:val="none"/>
              </w:rPr>
              <w:t>个检验批，每个</w:t>
            </w:r>
            <w:r>
              <w:rPr>
                <w:color w:val="auto"/>
                <w:spacing w:val="-8"/>
                <w:sz w:val="22"/>
                <w:szCs w:val="22"/>
                <w:highlight w:val="none"/>
              </w:rPr>
              <w:t>检验批检验</w:t>
            </w:r>
            <w:r>
              <w:rPr>
                <w:color w:val="auto"/>
                <w:spacing w:val="-33"/>
                <w:sz w:val="22"/>
                <w:szCs w:val="22"/>
                <w:highlight w:val="none"/>
              </w:rPr>
              <w:t xml:space="preserve"> </w:t>
            </w:r>
            <w:r>
              <w:rPr>
                <w:b/>
                <w:bCs/>
                <w:color w:val="auto"/>
                <w:spacing w:val="-8"/>
                <w:sz w:val="22"/>
                <w:szCs w:val="22"/>
                <w:highlight w:val="none"/>
              </w:rPr>
              <w:t>1</w:t>
            </w:r>
            <w:r>
              <w:rPr>
                <w:color w:val="auto"/>
                <w:spacing w:val="-44"/>
                <w:sz w:val="22"/>
                <w:szCs w:val="22"/>
                <w:highlight w:val="none"/>
              </w:rPr>
              <w:t xml:space="preserve"> </w:t>
            </w:r>
            <w:r>
              <w:rPr>
                <w:color w:val="auto"/>
                <w:spacing w:val="-8"/>
                <w:sz w:val="22"/>
                <w:szCs w:val="22"/>
                <w:highlight w:val="none"/>
              </w:rPr>
              <w:t>次</w:t>
            </w:r>
          </w:p>
        </w:tc>
        <w:tc>
          <w:tcPr>
            <w:tcW w:w="1384" w:type="dxa"/>
            <w:vAlign w:val="center"/>
          </w:tcPr>
          <w:p w14:paraId="7C2BE56B">
            <w:pPr>
              <w:pStyle w:val="22"/>
              <w:spacing w:before="78" w:line="245" w:lineRule="auto"/>
              <w:ind w:left="114" w:right="107"/>
              <w:jc w:val="center"/>
              <w:rPr>
                <w:color w:val="auto"/>
                <w:sz w:val="22"/>
                <w:szCs w:val="22"/>
                <w:highlight w:val="none"/>
              </w:rPr>
            </w:pPr>
            <w:r>
              <w:rPr>
                <w:color w:val="auto"/>
                <w:spacing w:val="22"/>
                <w:sz w:val="22"/>
                <w:szCs w:val="22"/>
                <w:highlight w:val="none"/>
              </w:rPr>
              <w:t>《</w:t>
            </w:r>
            <w:r>
              <w:rPr>
                <w:color w:val="auto"/>
                <w:spacing w:val="-18"/>
                <w:sz w:val="22"/>
                <w:szCs w:val="22"/>
                <w:highlight w:val="none"/>
              </w:rPr>
              <w:t xml:space="preserve"> </w:t>
            </w:r>
            <w:r>
              <w:rPr>
                <w:color w:val="auto"/>
                <w:spacing w:val="22"/>
                <w:sz w:val="22"/>
                <w:szCs w:val="22"/>
                <w:highlight w:val="none"/>
              </w:rPr>
              <w:t>城市污</w:t>
            </w:r>
            <w:r>
              <w:rPr>
                <w:color w:val="auto"/>
                <w:spacing w:val="48"/>
                <w:sz w:val="22"/>
                <w:szCs w:val="22"/>
                <w:highlight w:val="none"/>
              </w:rPr>
              <w:t>水利用绿地灌溉水</w:t>
            </w:r>
            <w:r>
              <w:rPr>
                <w:color w:val="auto"/>
                <w:spacing w:val="-9"/>
                <w:sz w:val="22"/>
                <w:szCs w:val="22"/>
                <w:highlight w:val="none"/>
              </w:rPr>
              <w:t>质</w:t>
            </w:r>
            <w:r>
              <w:rPr>
                <w:color w:val="auto"/>
                <w:spacing w:val="8"/>
                <w:sz w:val="22"/>
                <w:szCs w:val="22"/>
                <w:highlight w:val="none"/>
              </w:rPr>
              <w:t xml:space="preserve"> </w:t>
            </w:r>
            <w:r>
              <w:rPr>
                <w:color w:val="auto"/>
                <w:spacing w:val="-9"/>
                <w:sz w:val="22"/>
                <w:szCs w:val="22"/>
                <w:highlight w:val="none"/>
              </w:rPr>
              <w:t xml:space="preserve">》 </w:t>
            </w:r>
            <w:r>
              <w:rPr>
                <w:b/>
                <w:bCs/>
                <w:color w:val="auto"/>
                <w:spacing w:val="-9"/>
                <w:sz w:val="22"/>
                <w:szCs w:val="22"/>
                <w:highlight w:val="none"/>
              </w:rPr>
              <w:t>GB/T</w:t>
            </w:r>
            <w:r>
              <w:rPr>
                <w:color w:val="auto"/>
                <w:sz w:val="22"/>
                <w:szCs w:val="22"/>
                <w:highlight w:val="none"/>
              </w:rPr>
              <w:t xml:space="preserve"> </w:t>
            </w:r>
            <w:r>
              <w:rPr>
                <w:b/>
                <w:bCs/>
                <w:color w:val="auto"/>
                <w:spacing w:val="-5"/>
                <w:sz w:val="22"/>
                <w:szCs w:val="22"/>
                <w:highlight w:val="none"/>
              </w:rPr>
              <w:t>25499</w:t>
            </w:r>
          </w:p>
        </w:tc>
      </w:tr>
      <w:tr w14:paraId="3C2E9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295" w:type="dxa"/>
            <w:vAlign w:val="center"/>
          </w:tcPr>
          <w:p w14:paraId="44CE8F40">
            <w:pPr>
              <w:pStyle w:val="22"/>
              <w:spacing w:before="0" w:line="400" w:lineRule="exact"/>
              <w:ind w:left="0"/>
              <w:jc w:val="center"/>
              <w:rPr>
                <w:color w:val="auto"/>
                <w:sz w:val="22"/>
                <w:szCs w:val="22"/>
                <w:highlight w:val="none"/>
              </w:rPr>
            </w:pPr>
            <w:r>
              <w:rPr>
                <w:color w:val="auto"/>
                <w:spacing w:val="-2"/>
                <w:sz w:val="22"/>
                <w:szCs w:val="22"/>
                <w:highlight w:val="none"/>
              </w:rPr>
              <w:t>凝结时间影响系数</w:t>
            </w:r>
            <w:r>
              <w:rPr>
                <w:color w:val="auto"/>
                <w:spacing w:val="-10"/>
                <w:sz w:val="22"/>
                <w:szCs w:val="22"/>
                <w:highlight w:val="none"/>
              </w:rPr>
              <w:t>比（</w:t>
            </w:r>
            <w:r>
              <w:rPr>
                <w:b/>
                <w:bCs/>
                <w:color w:val="auto"/>
                <w:spacing w:val="-10"/>
                <w:sz w:val="22"/>
                <w:szCs w:val="22"/>
                <w:highlight w:val="none"/>
              </w:rPr>
              <w:t>%</w:t>
            </w:r>
            <w:r>
              <w:rPr>
                <w:color w:val="auto"/>
                <w:spacing w:val="-10"/>
                <w:sz w:val="22"/>
                <w:szCs w:val="22"/>
                <w:highlight w:val="none"/>
              </w:rPr>
              <w:t>）</w:t>
            </w:r>
          </w:p>
        </w:tc>
        <w:tc>
          <w:tcPr>
            <w:tcW w:w="5129" w:type="dxa"/>
            <w:vAlign w:val="top"/>
          </w:tcPr>
          <w:p w14:paraId="0A7ECE4A">
            <w:pPr>
              <w:spacing w:line="424" w:lineRule="auto"/>
              <w:rPr>
                <w:rFonts w:ascii="Arial"/>
                <w:color w:val="auto"/>
                <w:sz w:val="22"/>
                <w:highlight w:val="none"/>
              </w:rPr>
            </w:pPr>
          </w:p>
          <w:p w14:paraId="7A489317">
            <w:pPr>
              <w:pStyle w:val="22"/>
              <w:spacing w:before="78" w:line="238" w:lineRule="auto"/>
              <w:ind w:left="2292"/>
              <w:rPr>
                <w:color w:val="auto"/>
                <w:sz w:val="22"/>
                <w:szCs w:val="22"/>
                <w:highlight w:val="none"/>
              </w:rPr>
            </w:pPr>
            <w:r>
              <w:rPr>
                <w:color w:val="auto"/>
                <w:spacing w:val="-11"/>
                <w:sz w:val="22"/>
                <w:szCs w:val="22"/>
                <w:highlight w:val="none"/>
              </w:rPr>
              <w:t>≥</w:t>
            </w:r>
            <w:r>
              <w:rPr>
                <w:b/>
                <w:bCs/>
                <w:color w:val="auto"/>
                <w:spacing w:val="-11"/>
                <w:sz w:val="22"/>
                <w:szCs w:val="22"/>
                <w:highlight w:val="none"/>
              </w:rPr>
              <w:t>100</w:t>
            </w:r>
          </w:p>
        </w:tc>
        <w:tc>
          <w:tcPr>
            <w:tcW w:w="1909" w:type="dxa"/>
            <w:vAlign w:val="top"/>
          </w:tcPr>
          <w:p w14:paraId="40EFB5F5">
            <w:pPr>
              <w:pStyle w:val="22"/>
              <w:spacing w:before="192" w:line="229" w:lineRule="auto"/>
              <w:ind w:left="120" w:right="112" w:firstLine="3"/>
              <w:jc w:val="both"/>
              <w:rPr>
                <w:color w:val="auto"/>
                <w:sz w:val="22"/>
                <w:szCs w:val="22"/>
                <w:highlight w:val="none"/>
              </w:rPr>
            </w:pPr>
            <w:r>
              <w:rPr>
                <w:color w:val="auto"/>
                <w:spacing w:val="3"/>
                <w:sz w:val="22"/>
                <w:szCs w:val="22"/>
                <w:highlight w:val="none"/>
              </w:rPr>
              <w:t>不超过</w:t>
            </w:r>
            <w:r>
              <w:rPr>
                <w:b/>
                <w:bCs/>
                <w:color w:val="auto"/>
                <w:spacing w:val="3"/>
                <w:sz w:val="22"/>
                <w:szCs w:val="22"/>
                <w:highlight w:val="none"/>
              </w:rPr>
              <w:t>20t</w:t>
            </w:r>
            <w:r>
              <w:rPr>
                <w:color w:val="auto"/>
                <w:spacing w:val="-46"/>
                <w:sz w:val="22"/>
                <w:szCs w:val="22"/>
                <w:highlight w:val="none"/>
              </w:rPr>
              <w:t xml:space="preserve"> </w:t>
            </w:r>
            <w:r>
              <w:rPr>
                <w:color w:val="auto"/>
                <w:spacing w:val="3"/>
                <w:sz w:val="22"/>
                <w:szCs w:val="22"/>
                <w:highlight w:val="none"/>
              </w:rPr>
              <w:t>为一</w:t>
            </w:r>
            <w:r>
              <w:rPr>
                <w:color w:val="auto"/>
                <w:spacing w:val="-2"/>
                <w:sz w:val="22"/>
                <w:szCs w:val="22"/>
                <w:highlight w:val="none"/>
              </w:rPr>
              <w:t>个检验批，每个</w:t>
            </w:r>
            <w:r>
              <w:rPr>
                <w:color w:val="auto"/>
                <w:spacing w:val="-8"/>
                <w:sz w:val="22"/>
                <w:szCs w:val="22"/>
                <w:highlight w:val="none"/>
              </w:rPr>
              <w:t>检验批检验</w:t>
            </w:r>
            <w:r>
              <w:rPr>
                <w:color w:val="auto"/>
                <w:spacing w:val="-33"/>
                <w:sz w:val="22"/>
                <w:szCs w:val="22"/>
                <w:highlight w:val="none"/>
              </w:rPr>
              <w:t xml:space="preserve"> </w:t>
            </w:r>
            <w:r>
              <w:rPr>
                <w:b/>
                <w:bCs/>
                <w:color w:val="auto"/>
                <w:spacing w:val="-8"/>
                <w:sz w:val="22"/>
                <w:szCs w:val="22"/>
                <w:highlight w:val="none"/>
              </w:rPr>
              <w:t>1</w:t>
            </w:r>
            <w:r>
              <w:rPr>
                <w:color w:val="auto"/>
                <w:spacing w:val="-44"/>
                <w:sz w:val="22"/>
                <w:szCs w:val="22"/>
                <w:highlight w:val="none"/>
              </w:rPr>
              <w:t xml:space="preserve"> </w:t>
            </w:r>
            <w:r>
              <w:rPr>
                <w:color w:val="auto"/>
                <w:spacing w:val="-8"/>
                <w:sz w:val="22"/>
                <w:szCs w:val="22"/>
                <w:highlight w:val="none"/>
              </w:rPr>
              <w:t>次</w:t>
            </w:r>
          </w:p>
        </w:tc>
        <w:tc>
          <w:tcPr>
            <w:tcW w:w="1384" w:type="dxa"/>
            <w:vAlign w:val="top"/>
          </w:tcPr>
          <w:p w14:paraId="1A1AB23B">
            <w:pPr>
              <w:pStyle w:val="22"/>
              <w:spacing w:before="192"/>
              <w:ind w:left="115" w:right="83" w:firstLine="100"/>
              <w:rPr>
                <w:color w:val="auto"/>
                <w:sz w:val="22"/>
                <w:szCs w:val="22"/>
                <w:highlight w:val="none"/>
              </w:rPr>
            </w:pPr>
            <w:r>
              <w:rPr>
                <w:color w:val="auto"/>
                <w:spacing w:val="-9"/>
                <w:sz w:val="22"/>
                <w:szCs w:val="22"/>
                <w:highlight w:val="none"/>
              </w:rPr>
              <w:t>《土壤固</w:t>
            </w:r>
            <w:r>
              <w:rPr>
                <w:color w:val="auto"/>
                <w:spacing w:val="-4"/>
                <w:sz w:val="22"/>
                <w:szCs w:val="22"/>
                <w:highlight w:val="none"/>
              </w:rPr>
              <w:t>化外加剂》</w:t>
            </w:r>
          </w:p>
          <w:p w14:paraId="550DBB8B">
            <w:pPr>
              <w:pStyle w:val="22"/>
              <w:spacing w:line="207" w:lineRule="auto"/>
              <w:ind w:left="213"/>
              <w:rPr>
                <w:color w:val="auto"/>
                <w:sz w:val="22"/>
                <w:szCs w:val="22"/>
                <w:highlight w:val="none"/>
              </w:rPr>
            </w:pPr>
            <w:r>
              <w:rPr>
                <w:b/>
                <w:bCs/>
                <w:color w:val="auto"/>
                <w:spacing w:val="-5"/>
                <w:sz w:val="22"/>
                <w:szCs w:val="22"/>
                <w:highlight w:val="none"/>
              </w:rPr>
              <w:t>CJ/T</w:t>
            </w:r>
            <w:r>
              <w:rPr>
                <w:color w:val="auto"/>
                <w:spacing w:val="11"/>
                <w:sz w:val="22"/>
                <w:szCs w:val="22"/>
                <w:highlight w:val="none"/>
              </w:rPr>
              <w:t xml:space="preserve"> </w:t>
            </w:r>
            <w:r>
              <w:rPr>
                <w:b/>
                <w:bCs/>
                <w:color w:val="auto"/>
                <w:spacing w:val="-5"/>
                <w:sz w:val="22"/>
                <w:szCs w:val="22"/>
                <w:highlight w:val="none"/>
              </w:rPr>
              <w:t>486</w:t>
            </w:r>
          </w:p>
        </w:tc>
      </w:tr>
      <w:tr w14:paraId="19FB0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295" w:type="dxa"/>
            <w:vAlign w:val="center"/>
          </w:tcPr>
          <w:p w14:paraId="26CD3B20">
            <w:pPr>
              <w:pStyle w:val="22"/>
              <w:spacing w:before="0" w:line="400" w:lineRule="exact"/>
              <w:ind w:left="0"/>
              <w:jc w:val="center"/>
              <w:rPr>
                <w:color w:val="auto"/>
                <w:sz w:val="22"/>
                <w:szCs w:val="22"/>
                <w:highlight w:val="none"/>
              </w:rPr>
            </w:pPr>
            <w:r>
              <w:rPr>
                <w:color w:val="auto"/>
                <w:spacing w:val="-3"/>
                <w:sz w:val="22"/>
                <w:szCs w:val="22"/>
                <w:highlight w:val="none"/>
              </w:rPr>
              <w:t>无侧限抗</w:t>
            </w:r>
          </w:p>
          <w:p w14:paraId="47D4A2FB">
            <w:pPr>
              <w:pStyle w:val="22"/>
              <w:spacing w:before="0" w:line="400" w:lineRule="exact"/>
              <w:ind w:left="0" w:right="0" w:firstLine="0"/>
              <w:jc w:val="center"/>
              <w:rPr>
                <w:color w:val="auto"/>
                <w:sz w:val="22"/>
                <w:szCs w:val="22"/>
                <w:highlight w:val="none"/>
              </w:rPr>
            </w:pPr>
            <w:r>
              <w:rPr>
                <w:color w:val="auto"/>
                <w:spacing w:val="-3"/>
                <w:sz w:val="22"/>
                <w:szCs w:val="22"/>
                <w:highlight w:val="none"/>
              </w:rPr>
              <w:t>压强度比</w:t>
            </w:r>
            <w:r>
              <w:rPr>
                <w:color w:val="auto"/>
                <w:spacing w:val="-7"/>
                <w:sz w:val="22"/>
                <w:szCs w:val="22"/>
                <w:highlight w:val="none"/>
              </w:rPr>
              <w:t>（</w:t>
            </w:r>
            <w:r>
              <w:rPr>
                <w:b/>
                <w:bCs/>
                <w:color w:val="auto"/>
                <w:spacing w:val="-7"/>
                <w:sz w:val="22"/>
                <w:szCs w:val="22"/>
                <w:highlight w:val="none"/>
              </w:rPr>
              <w:t>%</w:t>
            </w:r>
            <w:r>
              <w:rPr>
                <w:color w:val="auto"/>
                <w:spacing w:val="-7"/>
                <w:sz w:val="22"/>
                <w:szCs w:val="22"/>
                <w:highlight w:val="none"/>
              </w:rPr>
              <w:t>）</w:t>
            </w:r>
          </w:p>
        </w:tc>
        <w:tc>
          <w:tcPr>
            <w:tcW w:w="5129" w:type="dxa"/>
            <w:vAlign w:val="top"/>
          </w:tcPr>
          <w:p w14:paraId="4920D5FC">
            <w:pPr>
              <w:spacing w:line="427" w:lineRule="auto"/>
              <w:rPr>
                <w:rFonts w:ascii="Arial"/>
                <w:color w:val="auto"/>
                <w:sz w:val="22"/>
                <w:highlight w:val="none"/>
              </w:rPr>
            </w:pPr>
          </w:p>
          <w:p w14:paraId="16D34F9D">
            <w:pPr>
              <w:pStyle w:val="22"/>
              <w:spacing w:before="78" w:line="238" w:lineRule="auto"/>
              <w:ind w:left="2292"/>
              <w:rPr>
                <w:color w:val="auto"/>
                <w:sz w:val="22"/>
                <w:szCs w:val="22"/>
                <w:highlight w:val="none"/>
              </w:rPr>
            </w:pPr>
            <w:r>
              <w:rPr>
                <w:color w:val="auto"/>
                <w:spacing w:val="-11"/>
                <w:sz w:val="22"/>
                <w:szCs w:val="22"/>
                <w:highlight w:val="none"/>
              </w:rPr>
              <w:t>≥</w:t>
            </w:r>
            <w:r>
              <w:rPr>
                <w:b/>
                <w:bCs/>
                <w:color w:val="auto"/>
                <w:spacing w:val="-11"/>
                <w:sz w:val="22"/>
                <w:szCs w:val="22"/>
                <w:highlight w:val="none"/>
              </w:rPr>
              <w:t>120</w:t>
            </w:r>
          </w:p>
        </w:tc>
        <w:tc>
          <w:tcPr>
            <w:tcW w:w="1909" w:type="dxa"/>
            <w:vAlign w:val="top"/>
          </w:tcPr>
          <w:p w14:paraId="613F5CDE">
            <w:pPr>
              <w:pStyle w:val="22"/>
              <w:spacing w:before="194" w:line="229" w:lineRule="auto"/>
              <w:ind w:left="120" w:right="112" w:firstLine="3"/>
              <w:jc w:val="both"/>
              <w:rPr>
                <w:color w:val="auto"/>
                <w:sz w:val="22"/>
                <w:szCs w:val="22"/>
                <w:highlight w:val="none"/>
              </w:rPr>
            </w:pPr>
            <w:r>
              <w:rPr>
                <w:color w:val="auto"/>
                <w:spacing w:val="3"/>
                <w:sz w:val="22"/>
                <w:szCs w:val="22"/>
                <w:highlight w:val="none"/>
              </w:rPr>
              <w:t>不超过</w:t>
            </w:r>
            <w:r>
              <w:rPr>
                <w:b/>
                <w:bCs/>
                <w:color w:val="auto"/>
                <w:spacing w:val="3"/>
                <w:sz w:val="22"/>
                <w:szCs w:val="22"/>
                <w:highlight w:val="none"/>
              </w:rPr>
              <w:t>20t</w:t>
            </w:r>
            <w:r>
              <w:rPr>
                <w:color w:val="auto"/>
                <w:spacing w:val="-46"/>
                <w:sz w:val="22"/>
                <w:szCs w:val="22"/>
                <w:highlight w:val="none"/>
              </w:rPr>
              <w:t xml:space="preserve"> </w:t>
            </w:r>
            <w:r>
              <w:rPr>
                <w:color w:val="auto"/>
                <w:spacing w:val="3"/>
                <w:sz w:val="22"/>
                <w:szCs w:val="22"/>
                <w:highlight w:val="none"/>
              </w:rPr>
              <w:t>为一</w:t>
            </w:r>
            <w:r>
              <w:rPr>
                <w:color w:val="auto"/>
                <w:spacing w:val="-2"/>
                <w:sz w:val="22"/>
                <w:szCs w:val="22"/>
                <w:highlight w:val="none"/>
              </w:rPr>
              <w:t>个检验批，每个</w:t>
            </w:r>
            <w:r>
              <w:rPr>
                <w:color w:val="auto"/>
                <w:spacing w:val="-8"/>
                <w:sz w:val="22"/>
                <w:szCs w:val="22"/>
                <w:highlight w:val="none"/>
              </w:rPr>
              <w:t>检验批检验</w:t>
            </w:r>
            <w:r>
              <w:rPr>
                <w:color w:val="auto"/>
                <w:spacing w:val="-33"/>
                <w:sz w:val="22"/>
                <w:szCs w:val="22"/>
                <w:highlight w:val="none"/>
              </w:rPr>
              <w:t xml:space="preserve"> </w:t>
            </w:r>
            <w:r>
              <w:rPr>
                <w:b/>
                <w:bCs/>
                <w:color w:val="auto"/>
                <w:spacing w:val="-8"/>
                <w:sz w:val="22"/>
                <w:szCs w:val="22"/>
                <w:highlight w:val="none"/>
              </w:rPr>
              <w:t>1</w:t>
            </w:r>
            <w:r>
              <w:rPr>
                <w:color w:val="auto"/>
                <w:spacing w:val="-44"/>
                <w:sz w:val="22"/>
                <w:szCs w:val="22"/>
                <w:highlight w:val="none"/>
              </w:rPr>
              <w:t xml:space="preserve"> </w:t>
            </w:r>
            <w:r>
              <w:rPr>
                <w:color w:val="auto"/>
                <w:spacing w:val="-8"/>
                <w:sz w:val="22"/>
                <w:szCs w:val="22"/>
                <w:highlight w:val="none"/>
              </w:rPr>
              <w:t>次</w:t>
            </w:r>
          </w:p>
        </w:tc>
        <w:tc>
          <w:tcPr>
            <w:tcW w:w="1384" w:type="dxa"/>
            <w:vAlign w:val="top"/>
          </w:tcPr>
          <w:p w14:paraId="1EA61951">
            <w:pPr>
              <w:pStyle w:val="22"/>
              <w:spacing w:before="195"/>
              <w:ind w:left="115" w:right="83" w:firstLine="100"/>
              <w:rPr>
                <w:color w:val="auto"/>
                <w:sz w:val="22"/>
                <w:szCs w:val="22"/>
                <w:highlight w:val="none"/>
              </w:rPr>
            </w:pPr>
            <w:r>
              <w:rPr>
                <w:color w:val="auto"/>
                <w:spacing w:val="-9"/>
                <w:sz w:val="22"/>
                <w:szCs w:val="22"/>
                <w:highlight w:val="none"/>
              </w:rPr>
              <w:t>《土壤固</w:t>
            </w:r>
            <w:r>
              <w:rPr>
                <w:color w:val="auto"/>
                <w:spacing w:val="-4"/>
                <w:sz w:val="22"/>
                <w:szCs w:val="22"/>
                <w:highlight w:val="none"/>
              </w:rPr>
              <w:t>化外加剂》</w:t>
            </w:r>
          </w:p>
          <w:p w14:paraId="46F949A2">
            <w:pPr>
              <w:pStyle w:val="22"/>
              <w:spacing w:line="206" w:lineRule="auto"/>
              <w:ind w:left="213"/>
              <w:rPr>
                <w:color w:val="auto"/>
                <w:sz w:val="22"/>
                <w:szCs w:val="22"/>
                <w:highlight w:val="none"/>
              </w:rPr>
            </w:pPr>
            <w:r>
              <w:rPr>
                <w:b/>
                <w:bCs/>
                <w:color w:val="auto"/>
                <w:spacing w:val="-5"/>
                <w:sz w:val="22"/>
                <w:szCs w:val="22"/>
                <w:highlight w:val="none"/>
              </w:rPr>
              <w:t>CJ/T</w:t>
            </w:r>
            <w:r>
              <w:rPr>
                <w:color w:val="auto"/>
                <w:spacing w:val="11"/>
                <w:sz w:val="22"/>
                <w:szCs w:val="22"/>
                <w:highlight w:val="none"/>
              </w:rPr>
              <w:t xml:space="preserve"> </w:t>
            </w:r>
            <w:r>
              <w:rPr>
                <w:b/>
                <w:bCs/>
                <w:color w:val="auto"/>
                <w:spacing w:val="-5"/>
                <w:sz w:val="22"/>
                <w:szCs w:val="22"/>
                <w:highlight w:val="none"/>
              </w:rPr>
              <w:t>486</w:t>
            </w:r>
          </w:p>
        </w:tc>
      </w:tr>
      <w:tr w14:paraId="1E02A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295" w:type="dxa"/>
            <w:vAlign w:val="center"/>
          </w:tcPr>
          <w:p w14:paraId="21F5D6EB">
            <w:pPr>
              <w:spacing w:line="400" w:lineRule="exact"/>
              <w:jc w:val="center"/>
              <w:rPr>
                <w:rFonts w:ascii="Arial"/>
                <w:color w:val="auto"/>
                <w:sz w:val="22"/>
                <w:highlight w:val="none"/>
              </w:rPr>
            </w:pPr>
          </w:p>
          <w:p w14:paraId="0CF9EDE6">
            <w:pPr>
              <w:pStyle w:val="22"/>
              <w:spacing w:before="0" w:line="400" w:lineRule="exact"/>
              <w:ind w:left="0" w:right="0" w:firstLine="0"/>
              <w:jc w:val="center"/>
              <w:rPr>
                <w:color w:val="auto"/>
                <w:sz w:val="22"/>
                <w:szCs w:val="22"/>
                <w:highlight w:val="none"/>
              </w:rPr>
            </w:pPr>
            <w:r>
              <w:rPr>
                <w:color w:val="auto"/>
                <w:spacing w:val="-4"/>
                <w:sz w:val="22"/>
                <w:szCs w:val="22"/>
                <w:highlight w:val="none"/>
              </w:rPr>
              <w:t>水稳系数</w:t>
            </w:r>
            <w:r>
              <w:rPr>
                <w:color w:val="auto"/>
                <w:spacing w:val="-10"/>
                <w:sz w:val="22"/>
                <w:szCs w:val="22"/>
                <w:highlight w:val="none"/>
              </w:rPr>
              <w:t>比（</w:t>
            </w:r>
            <w:r>
              <w:rPr>
                <w:b/>
                <w:bCs/>
                <w:color w:val="auto"/>
                <w:spacing w:val="-10"/>
                <w:sz w:val="22"/>
                <w:szCs w:val="22"/>
                <w:highlight w:val="none"/>
              </w:rPr>
              <w:t>%</w:t>
            </w:r>
            <w:r>
              <w:rPr>
                <w:color w:val="auto"/>
                <w:spacing w:val="-10"/>
                <w:sz w:val="22"/>
                <w:szCs w:val="22"/>
                <w:highlight w:val="none"/>
              </w:rPr>
              <w:t>）</w:t>
            </w:r>
          </w:p>
        </w:tc>
        <w:tc>
          <w:tcPr>
            <w:tcW w:w="5129" w:type="dxa"/>
            <w:vAlign w:val="top"/>
          </w:tcPr>
          <w:p w14:paraId="277E4E21">
            <w:pPr>
              <w:spacing w:line="425" w:lineRule="auto"/>
              <w:rPr>
                <w:rFonts w:ascii="Arial"/>
                <w:color w:val="auto"/>
                <w:sz w:val="22"/>
                <w:highlight w:val="none"/>
              </w:rPr>
            </w:pPr>
          </w:p>
          <w:p w14:paraId="52D1FC50">
            <w:pPr>
              <w:pStyle w:val="22"/>
              <w:spacing w:before="78" w:line="238" w:lineRule="auto"/>
              <w:ind w:left="2292"/>
              <w:rPr>
                <w:color w:val="auto"/>
                <w:sz w:val="22"/>
                <w:szCs w:val="22"/>
                <w:highlight w:val="none"/>
              </w:rPr>
            </w:pPr>
            <w:r>
              <w:rPr>
                <w:color w:val="auto"/>
                <w:spacing w:val="-11"/>
                <w:sz w:val="22"/>
                <w:szCs w:val="22"/>
                <w:highlight w:val="none"/>
              </w:rPr>
              <w:t>≥</w:t>
            </w:r>
            <w:r>
              <w:rPr>
                <w:b/>
                <w:bCs/>
                <w:color w:val="auto"/>
                <w:spacing w:val="-11"/>
                <w:sz w:val="22"/>
                <w:szCs w:val="22"/>
                <w:highlight w:val="none"/>
              </w:rPr>
              <w:t>105</w:t>
            </w:r>
          </w:p>
        </w:tc>
        <w:tc>
          <w:tcPr>
            <w:tcW w:w="1909" w:type="dxa"/>
            <w:vAlign w:val="top"/>
          </w:tcPr>
          <w:p w14:paraId="136E5E8A">
            <w:pPr>
              <w:pStyle w:val="22"/>
              <w:spacing w:before="193" w:line="230" w:lineRule="auto"/>
              <w:ind w:left="120" w:right="112" w:firstLine="3"/>
              <w:jc w:val="both"/>
              <w:rPr>
                <w:color w:val="auto"/>
                <w:sz w:val="22"/>
                <w:szCs w:val="22"/>
                <w:highlight w:val="none"/>
              </w:rPr>
            </w:pPr>
            <w:r>
              <w:rPr>
                <w:color w:val="auto"/>
                <w:spacing w:val="3"/>
                <w:sz w:val="22"/>
                <w:szCs w:val="22"/>
                <w:highlight w:val="none"/>
              </w:rPr>
              <w:t>不超过</w:t>
            </w:r>
            <w:r>
              <w:rPr>
                <w:b/>
                <w:bCs/>
                <w:color w:val="auto"/>
                <w:spacing w:val="3"/>
                <w:sz w:val="22"/>
                <w:szCs w:val="22"/>
                <w:highlight w:val="none"/>
              </w:rPr>
              <w:t>20t</w:t>
            </w:r>
            <w:r>
              <w:rPr>
                <w:color w:val="auto"/>
                <w:spacing w:val="-46"/>
                <w:sz w:val="22"/>
                <w:szCs w:val="22"/>
                <w:highlight w:val="none"/>
              </w:rPr>
              <w:t xml:space="preserve"> </w:t>
            </w:r>
            <w:r>
              <w:rPr>
                <w:color w:val="auto"/>
                <w:spacing w:val="3"/>
                <w:sz w:val="22"/>
                <w:szCs w:val="22"/>
                <w:highlight w:val="none"/>
              </w:rPr>
              <w:t>为一</w:t>
            </w:r>
            <w:r>
              <w:rPr>
                <w:color w:val="auto"/>
                <w:spacing w:val="-2"/>
                <w:sz w:val="22"/>
                <w:szCs w:val="22"/>
                <w:highlight w:val="none"/>
              </w:rPr>
              <w:t>个检验批，每个</w:t>
            </w:r>
            <w:r>
              <w:rPr>
                <w:color w:val="auto"/>
                <w:spacing w:val="-8"/>
                <w:sz w:val="22"/>
                <w:szCs w:val="22"/>
                <w:highlight w:val="none"/>
              </w:rPr>
              <w:t>检验批检验</w:t>
            </w:r>
            <w:r>
              <w:rPr>
                <w:color w:val="auto"/>
                <w:spacing w:val="-33"/>
                <w:sz w:val="22"/>
                <w:szCs w:val="22"/>
                <w:highlight w:val="none"/>
              </w:rPr>
              <w:t xml:space="preserve"> </w:t>
            </w:r>
            <w:r>
              <w:rPr>
                <w:b/>
                <w:bCs/>
                <w:color w:val="auto"/>
                <w:spacing w:val="-8"/>
                <w:sz w:val="22"/>
                <w:szCs w:val="22"/>
                <w:highlight w:val="none"/>
              </w:rPr>
              <w:t>1</w:t>
            </w:r>
            <w:r>
              <w:rPr>
                <w:color w:val="auto"/>
                <w:spacing w:val="-44"/>
                <w:sz w:val="22"/>
                <w:szCs w:val="22"/>
                <w:highlight w:val="none"/>
              </w:rPr>
              <w:t xml:space="preserve"> </w:t>
            </w:r>
            <w:r>
              <w:rPr>
                <w:color w:val="auto"/>
                <w:spacing w:val="-8"/>
                <w:sz w:val="22"/>
                <w:szCs w:val="22"/>
                <w:highlight w:val="none"/>
              </w:rPr>
              <w:t>次</w:t>
            </w:r>
          </w:p>
        </w:tc>
        <w:tc>
          <w:tcPr>
            <w:tcW w:w="1384" w:type="dxa"/>
            <w:vAlign w:val="top"/>
          </w:tcPr>
          <w:p w14:paraId="1D5B215F">
            <w:pPr>
              <w:pStyle w:val="22"/>
              <w:spacing w:before="194"/>
              <w:ind w:left="115" w:right="83" w:firstLine="100"/>
              <w:rPr>
                <w:color w:val="auto"/>
                <w:sz w:val="22"/>
                <w:szCs w:val="22"/>
                <w:highlight w:val="none"/>
              </w:rPr>
            </w:pPr>
            <w:r>
              <w:rPr>
                <w:color w:val="auto"/>
                <w:spacing w:val="-9"/>
                <w:sz w:val="22"/>
                <w:szCs w:val="22"/>
                <w:highlight w:val="none"/>
              </w:rPr>
              <w:t>《土壤固</w:t>
            </w:r>
            <w:r>
              <w:rPr>
                <w:color w:val="auto"/>
                <w:spacing w:val="-4"/>
                <w:sz w:val="22"/>
                <w:szCs w:val="22"/>
                <w:highlight w:val="none"/>
              </w:rPr>
              <w:t>化外加剂》</w:t>
            </w:r>
          </w:p>
          <w:p w14:paraId="6F08B155">
            <w:pPr>
              <w:pStyle w:val="22"/>
              <w:spacing w:line="209" w:lineRule="auto"/>
              <w:ind w:left="213"/>
              <w:rPr>
                <w:color w:val="auto"/>
                <w:sz w:val="22"/>
                <w:szCs w:val="22"/>
                <w:highlight w:val="none"/>
              </w:rPr>
            </w:pPr>
            <w:r>
              <w:rPr>
                <w:b/>
                <w:bCs/>
                <w:color w:val="auto"/>
                <w:spacing w:val="-5"/>
                <w:sz w:val="22"/>
                <w:szCs w:val="22"/>
                <w:highlight w:val="none"/>
              </w:rPr>
              <w:t>CJ/T</w:t>
            </w:r>
            <w:r>
              <w:rPr>
                <w:color w:val="auto"/>
                <w:spacing w:val="11"/>
                <w:sz w:val="22"/>
                <w:szCs w:val="22"/>
                <w:highlight w:val="none"/>
              </w:rPr>
              <w:t xml:space="preserve"> </w:t>
            </w:r>
            <w:r>
              <w:rPr>
                <w:b/>
                <w:bCs/>
                <w:color w:val="auto"/>
                <w:spacing w:val="-5"/>
                <w:sz w:val="22"/>
                <w:szCs w:val="22"/>
                <w:highlight w:val="none"/>
              </w:rPr>
              <w:t>486</w:t>
            </w:r>
          </w:p>
        </w:tc>
      </w:tr>
      <w:tr w14:paraId="23066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6" w:hRule="atLeast"/>
        </w:trPr>
        <w:tc>
          <w:tcPr>
            <w:tcW w:w="1295" w:type="dxa"/>
            <w:vAlign w:val="center"/>
          </w:tcPr>
          <w:p w14:paraId="2DB41659">
            <w:pPr>
              <w:pStyle w:val="22"/>
              <w:spacing w:before="0" w:line="400" w:lineRule="exact"/>
              <w:ind w:left="0" w:right="0" w:firstLine="0"/>
              <w:jc w:val="center"/>
              <w:rPr>
                <w:color w:val="auto"/>
                <w:sz w:val="22"/>
                <w:szCs w:val="22"/>
                <w:highlight w:val="none"/>
              </w:rPr>
            </w:pPr>
            <w:r>
              <w:rPr>
                <w:color w:val="auto"/>
                <w:spacing w:val="-3"/>
                <w:sz w:val="22"/>
                <w:szCs w:val="22"/>
                <w:highlight w:val="none"/>
              </w:rPr>
              <w:t>均质性指</w:t>
            </w:r>
            <w:r>
              <w:rPr>
                <w:color w:val="auto"/>
                <w:sz w:val="22"/>
                <w:szCs w:val="22"/>
                <w:highlight w:val="none"/>
              </w:rPr>
              <w:t>标</w:t>
            </w:r>
          </w:p>
        </w:tc>
        <w:tc>
          <w:tcPr>
            <w:tcW w:w="5129" w:type="dxa"/>
            <w:vAlign w:val="top"/>
          </w:tcPr>
          <w:p w14:paraId="0727B438">
            <w:pPr>
              <w:spacing w:before="82"/>
              <w:rPr>
                <w:color w:val="auto"/>
                <w:sz w:val="22"/>
                <w:highlight w:val="none"/>
              </w:rPr>
            </w:pPr>
          </w:p>
          <w:tbl>
            <w:tblPr>
              <w:tblStyle w:val="11"/>
              <w:tblW w:w="4895"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002"/>
              <w:gridCol w:w="1575"/>
              <w:gridCol w:w="1616"/>
            </w:tblGrid>
            <w:tr w14:paraId="456F4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02" w:type="dxa"/>
                  <w:vMerge w:val="restart"/>
                  <w:tcBorders>
                    <w:bottom w:val="nil"/>
                  </w:tcBorders>
                  <w:vAlign w:val="center"/>
                </w:tcPr>
                <w:p w14:paraId="0DE78F22">
                  <w:pPr>
                    <w:pStyle w:val="22"/>
                    <w:spacing w:before="0" w:line="400" w:lineRule="exact"/>
                    <w:ind w:left="0"/>
                    <w:jc w:val="center"/>
                    <w:rPr>
                      <w:color w:val="auto"/>
                      <w:sz w:val="22"/>
                      <w:szCs w:val="22"/>
                      <w:highlight w:val="none"/>
                    </w:rPr>
                  </w:pPr>
                  <w:r>
                    <w:rPr>
                      <w:color w:val="auto"/>
                      <w:spacing w:val="-2"/>
                      <w:sz w:val="22"/>
                      <w:szCs w:val="22"/>
                      <w:highlight w:val="none"/>
                    </w:rPr>
                    <w:t>序号</w:t>
                  </w:r>
                </w:p>
              </w:tc>
              <w:tc>
                <w:tcPr>
                  <w:tcW w:w="1002" w:type="dxa"/>
                  <w:vMerge w:val="restart"/>
                  <w:tcBorders>
                    <w:bottom w:val="nil"/>
                  </w:tcBorders>
                  <w:vAlign w:val="center"/>
                </w:tcPr>
                <w:p w14:paraId="0525C2A0">
                  <w:pPr>
                    <w:pStyle w:val="22"/>
                    <w:spacing w:before="0" w:line="400" w:lineRule="exact"/>
                    <w:ind w:left="0"/>
                    <w:jc w:val="center"/>
                    <w:rPr>
                      <w:color w:val="auto"/>
                      <w:sz w:val="22"/>
                      <w:szCs w:val="22"/>
                      <w:highlight w:val="none"/>
                    </w:rPr>
                  </w:pPr>
                  <w:r>
                    <w:rPr>
                      <w:color w:val="auto"/>
                      <w:spacing w:val="-3"/>
                      <w:sz w:val="22"/>
                      <w:szCs w:val="22"/>
                      <w:highlight w:val="none"/>
                    </w:rPr>
                    <w:t>项目</w:t>
                  </w:r>
                </w:p>
              </w:tc>
              <w:tc>
                <w:tcPr>
                  <w:tcW w:w="3191" w:type="dxa"/>
                  <w:gridSpan w:val="2"/>
                  <w:vAlign w:val="center"/>
                </w:tcPr>
                <w:p w14:paraId="594171FC">
                  <w:pPr>
                    <w:pStyle w:val="22"/>
                    <w:spacing w:before="0" w:line="400" w:lineRule="exact"/>
                    <w:ind w:left="0"/>
                    <w:jc w:val="center"/>
                    <w:rPr>
                      <w:color w:val="auto"/>
                      <w:sz w:val="22"/>
                      <w:szCs w:val="22"/>
                      <w:highlight w:val="none"/>
                    </w:rPr>
                  </w:pPr>
                  <w:r>
                    <w:rPr>
                      <w:color w:val="auto"/>
                      <w:spacing w:val="-3"/>
                      <w:sz w:val="22"/>
                      <w:szCs w:val="22"/>
                      <w:highlight w:val="none"/>
                    </w:rPr>
                    <w:t>指标</w:t>
                  </w:r>
                </w:p>
              </w:tc>
            </w:tr>
            <w:tr w14:paraId="15F8D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702" w:type="dxa"/>
                  <w:vMerge w:val="continue"/>
                  <w:tcBorders>
                    <w:top w:val="nil"/>
                  </w:tcBorders>
                  <w:vAlign w:val="center"/>
                </w:tcPr>
                <w:p w14:paraId="4FBCA2D4">
                  <w:pPr>
                    <w:spacing w:line="400" w:lineRule="exact"/>
                    <w:jc w:val="center"/>
                    <w:rPr>
                      <w:rFonts w:ascii="Arial"/>
                      <w:color w:val="auto"/>
                      <w:sz w:val="22"/>
                      <w:highlight w:val="none"/>
                    </w:rPr>
                  </w:pPr>
                </w:p>
              </w:tc>
              <w:tc>
                <w:tcPr>
                  <w:tcW w:w="1002" w:type="dxa"/>
                  <w:vMerge w:val="continue"/>
                  <w:tcBorders>
                    <w:top w:val="nil"/>
                  </w:tcBorders>
                  <w:vAlign w:val="center"/>
                </w:tcPr>
                <w:p w14:paraId="7AE03385">
                  <w:pPr>
                    <w:spacing w:line="400" w:lineRule="exact"/>
                    <w:jc w:val="center"/>
                    <w:rPr>
                      <w:rFonts w:ascii="Arial"/>
                      <w:color w:val="auto"/>
                      <w:sz w:val="22"/>
                      <w:highlight w:val="none"/>
                    </w:rPr>
                  </w:pPr>
                </w:p>
              </w:tc>
              <w:tc>
                <w:tcPr>
                  <w:tcW w:w="1575" w:type="dxa"/>
                  <w:vAlign w:val="center"/>
                </w:tcPr>
                <w:p w14:paraId="79E2760C">
                  <w:pPr>
                    <w:pStyle w:val="22"/>
                    <w:spacing w:before="0" w:line="400" w:lineRule="exact"/>
                    <w:ind w:left="0" w:right="0" w:firstLine="0"/>
                    <w:jc w:val="center"/>
                    <w:rPr>
                      <w:color w:val="auto"/>
                      <w:sz w:val="22"/>
                      <w:szCs w:val="22"/>
                      <w:highlight w:val="none"/>
                    </w:rPr>
                  </w:pPr>
                  <w:r>
                    <w:rPr>
                      <w:color w:val="auto"/>
                      <w:spacing w:val="-2"/>
                      <w:sz w:val="22"/>
                      <w:szCs w:val="22"/>
                      <w:highlight w:val="none"/>
                    </w:rPr>
                    <w:t>液体土壤固化外加剂</w:t>
                  </w:r>
                </w:p>
              </w:tc>
              <w:tc>
                <w:tcPr>
                  <w:tcW w:w="1616" w:type="dxa"/>
                  <w:vAlign w:val="center"/>
                </w:tcPr>
                <w:p w14:paraId="501BD34E">
                  <w:pPr>
                    <w:pStyle w:val="22"/>
                    <w:spacing w:before="0" w:line="400" w:lineRule="exact"/>
                    <w:ind w:left="0" w:right="0" w:firstLine="0"/>
                    <w:jc w:val="center"/>
                    <w:rPr>
                      <w:color w:val="auto"/>
                      <w:sz w:val="22"/>
                      <w:szCs w:val="22"/>
                      <w:highlight w:val="none"/>
                    </w:rPr>
                  </w:pPr>
                  <w:r>
                    <w:rPr>
                      <w:color w:val="auto"/>
                      <w:spacing w:val="-1"/>
                      <w:sz w:val="22"/>
                      <w:szCs w:val="22"/>
                      <w:highlight w:val="none"/>
                    </w:rPr>
                    <w:t>粉体土壤固化外</w:t>
                  </w:r>
                  <w:r>
                    <w:rPr>
                      <w:color w:val="auto"/>
                      <w:spacing w:val="-2"/>
                      <w:sz w:val="22"/>
                      <w:szCs w:val="22"/>
                      <w:highlight w:val="none"/>
                    </w:rPr>
                    <w:t>加剂</w:t>
                  </w:r>
                </w:p>
              </w:tc>
            </w:tr>
            <w:tr w14:paraId="17C82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02" w:type="dxa"/>
                  <w:vAlign w:val="center"/>
                </w:tcPr>
                <w:p w14:paraId="4232E94E">
                  <w:pPr>
                    <w:pStyle w:val="22"/>
                    <w:spacing w:before="0" w:line="400" w:lineRule="exact"/>
                    <w:ind w:left="0"/>
                    <w:jc w:val="center"/>
                    <w:rPr>
                      <w:color w:val="auto"/>
                      <w:sz w:val="22"/>
                      <w:szCs w:val="22"/>
                      <w:highlight w:val="none"/>
                    </w:rPr>
                  </w:pPr>
                  <w:r>
                    <w:rPr>
                      <w:b/>
                      <w:bCs/>
                      <w:color w:val="auto"/>
                      <w:spacing w:val="-2"/>
                      <w:sz w:val="22"/>
                      <w:szCs w:val="22"/>
                      <w:highlight w:val="none"/>
                    </w:rPr>
                    <w:t>1</w:t>
                  </w:r>
                </w:p>
              </w:tc>
              <w:tc>
                <w:tcPr>
                  <w:tcW w:w="1002" w:type="dxa"/>
                  <w:vAlign w:val="center"/>
                </w:tcPr>
                <w:p w14:paraId="33E67AF8">
                  <w:pPr>
                    <w:pStyle w:val="22"/>
                    <w:spacing w:before="0" w:line="400" w:lineRule="exact"/>
                    <w:ind w:left="0"/>
                    <w:jc w:val="center"/>
                    <w:rPr>
                      <w:color w:val="auto"/>
                      <w:sz w:val="22"/>
                      <w:szCs w:val="22"/>
                      <w:highlight w:val="none"/>
                    </w:rPr>
                  </w:pPr>
                  <w:r>
                    <w:rPr>
                      <w:color w:val="auto"/>
                      <w:spacing w:val="-6"/>
                      <w:sz w:val="22"/>
                      <w:szCs w:val="22"/>
                      <w:highlight w:val="none"/>
                    </w:rPr>
                    <w:t>外观</w:t>
                  </w:r>
                </w:p>
              </w:tc>
              <w:tc>
                <w:tcPr>
                  <w:tcW w:w="1575" w:type="dxa"/>
                  <w:vAlign w:val="center"/>
                </w:tcPr>
                <w:p w14:paraId="18C4957E">
                  <w:pPr>
                    <w:pStyle w:val="22"/>
                    <w:spacing w:before="0" w:line="400" w:lineRule="exact"/>
                    <w:ind w:left="0" w:right="0" w:firstLine="0"/>
                    <w:jc w:val="center"/>
                    <w:rPr>
                      <w:color w:val="auto"/>
                      <w:sz w:val="22"/>
                      <w:szCs w:val="22"/>
                      <w:highlight w:val="none"/>
                    </w:rPr>
                  </w:pPr>
                  <w:r>
                    <w:rPr>
                      <w:color w:val="auto"/>
                      <w:spacing w:val="-11"/>
                      <w:sz w:val="22"/>
                      <w:szCs w:val="22"/>
                      <w:highlight w:val="none"/>
                    </w:rPr>
                    <w:t>呈均匀状态，不应</w:t>
                  </w:r>
                  <w:r>
                    <w:rPr>
                      <w:color w:val="auto"/>
                      <w:spacing w:val="-3"/>
                      <w:sz w:val="22"/>
                      <w:szCs w:val="22"/>
                      <w:highlight w:val="none"/>
                    </w:rPr>
                    <w:t>有沉淀</w:t>
                  </w:r>
                </w:p>
              </w:tc>
              <w:tc>
                <w:tcPr>
                  <w:tcW w:w="1616" w:type="dxa"/>
                  <w:vAlign w:val="center"/>
                </w:tcPr>
                <w:p w14:paraId="7AFEE117">
                  <w:pPr>
                    <w:pStyle w:val="22"/>
                    <w:spacing w:before="0" w:line="400" w:lineRule="exact"/>
                    <w:ind w:left="0" w:right="0" w:firstLine="0"/>
                    <w:jc w:val="center"/>
                    <w:rPr>
                      <w:color w:val="auto"/>
                      <w:sz w:val="22"/>
                      <w:szCs w:val="22"/>
                      <w:highlight w:val="none"/>
                    </w:rPr>
                  </w:pPr>
                  <w:r>
                    <w:rPr>
                      <w:color w:val="auto"/>
                      <w:spacing w:val="-7"/>
                      <w:sz w:val="22"/>
                      <w:szCs w:val="22"/>
                      <w:highlight w:val="none"/>
                    </w:rPr>
                    <w:t>均匀一致，不应有</w:t>
                  </w:r>
                  <w:r>
                    <w:rPr>
                      <w:color w:val="auto"/>
                      <w:spacing w:val="-6"/>
                      <w:sz w:val="22"/>
                      <w:szCs w:val="22"/>
                      <w:highlight w:val="none"/>
                    </w:rPr>
                    <w:t>结块</w:t>
                  </w:r>
                </w:p>
              </w:tc>
            </w:tr>
            <w:tr w14:paraId="52EC7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2" w:type="dxa"/>
                  <w:vAlign w:val="center"/>
                </w:tcPr>
                <w:p w14:paraId="2A74807A">
                  <w:pPr>
                    <w:pStyle w:val="22"/>
                    <w:spacing w:before="0" w:line="400" w:lineRule="exact"/>
                    <w:ind w:left="0"/>
                    <w:jc w:val="center"/>
                    <w:rPr>
                      <w:color w:val="auto"/>
                      <w:sz w:val="22"/>
                      <w:szCs w:val="22"/>
                      <w:highlight w:val="none"/>
                    </w:rPr>
                  </w:pPr>
                  <w:r>
                    <w:rPr>
                      <w:b/>
                      <w:bCs/>
                      <w:color w:val="auto"/>
                      <w:spacing w:val="-2"/>
                      <w:sz w:val="22"/>
                      <w:szCs w:val="22"/>
                      <w:highlight w:val="none"/>
                    </w:rPr>
                    <w:t>2</w:t>
                  </w:r>
                </w:p>
              </w:tc>
              <w:tc>
                <w:tcPr>
                  <w:tcW w:w="1002" w:type="dxa"/>
                  <w:vAlign w:val="center"/>
                </w:tcPr>
                <w:p w14:paraId="13964EA0">
                  <w:pPr>
                    <w:pStyle w:val="22"/>
                    <w:spacing w:before="0" w:line="400" w:lineRule="exact"/>
                    <w:ind w:left="0"/>
                    <w:jc w:val="center"/>
                    <w:rPr>
                      <w:color w:val="auto"/>
                      <w:sz w:val="22"/>
                      <w:szCs w:val="22"/>
                      <w:highlight w:val="none"/>
                    </w:rPr>
                  </w:pPr>
                  <w:r>
                    <w:rPr>
                      <w:color w:val="auto"/>
                      <w:spacing w:val="-2"/>
                      <w:sz w:val="22"/>
                      <w:szCs w:val="22"/>
                      <w:highlight w:val="none"/>
                    </w:rPr>
                    <w:t>含固量</w:t>
                  </w:r>
                  <w:r>
                    <w:rPr>
                      <w:b/>
                      <w:bCs/>
                      <w:color w:val="auto"/>
                      <w:spacing w:val="-2"/>
                      <w:sz w:val="22"/>
                      <w:szCs w:val="22"/>
                      <w:highlight w:val="none"/>
                    </w:rPr>
                    <w:t>/%</w:t>
                  </w:r>
                </w:p>
              </w:tc>
              <w:tc>
                <w:tcPr>
                  <w:tcW w:w="1575" w:type="dxa"/>
                  <w:vAlign w:val="center"/>
                </w:tcPr>
                <w:p w14:paraId="78640A05">
                  <w:pPr>
                    <w:pStyle w:val="22"/>
                    <w:spacing w:before="0" w:line="400" w:lineRule="exact"/>
                    <w:ind w:left="0"/>
                    <w:jc w:val="center"/>
                    <w:rPr>
                      <w:color w:val="auto"/>
                      <w:sz w:val="22"/>
                      <w:szCs w:val="22"/>
                      <w:highlight w:val="none"/>
                    </w:rPr>
                  </w:pPr>
                  <w:r>
                    <w:rPr>
                      <w:b/>
                      <w:bCs/>
                      <w:color w:val="auto"/>
                      <w:spacing w:val="-3"/>
                      <w:sz w:val="22"/>
                      <w:szCs w:val="22"/>
                      <w:highlight w:val="none"/>
                    </w:rPr>
                    <w:t>S</w:t>
                  </w:r>
                  <w:r>
                    <w:rPr>
                      <w:color w:val="auto"/>
                      <w:spacing w:val="-3"/>
                      <w:sz w:val="22"/>
                      <w:szCs w:val="22"/>
                      <w:highlight w:val="none"/>
                    </w:rPr>
                    <w:t>±</w:t>
                  </w:r>
                  <w:r>
                    <w:rPr>
                      <w:b/>
                      <w:bCs/>
                      <w:color w:val="auto"/>
                      <w:spacing w:val="-3"/>
                      <w:sz w:val="22"/>
                      <w:szCs w:val="22"/>
                      <w:highlight w:val="none"/>
                    </w:rPr>
                    <w:t>2.0</w:t>
                  </w:r>
                </w:p>
              </w:tc>
              <w:tc>
                <w:tcPr>
                  <w:tcW w:w="1616" w:type="dxa"/>
                  <w:vAlign w:val="center"/>
                </w:tcPr>
                <w:p w14:paraId="270B96C0">
                  <w:pPr>
                    <w:pStyle w:val="22"/>
                    <w:spacing w:before="0" w:line="400" w:lineRule="exact"/>
                    <w:ind w:left="0"/>
                    <w:jc w:val="center"/>
                    <w:rPr>
                      <w:color w:val="auto"/>
                      <w:sz w:val="22"/>
                      <w:szCs w:val="22"/>
                      <w:highlight w:val="none"/>
                    </w:rPr>
                  </w:pPr>
                  <w:r>
                    <w:rPr>
                      <w:b/>
                      <w:bCs/>
                      <w:color w:val="auto"/>
                      <w:spacing w:val="-2"/>
                      <w:position w:val="-9"/>
                      <w:sz w:val="22"/>
                      <w:szCs w:val="22"/>
                      <w:highlight w:val="none"/>
                    </w:rPr>
                    <w:t>-</w:t>
                  </w:r>
                </w:p>
              </w:tc>
            </w:tr>
            <w:tr w14:paraId="65062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2" w:type="dxa"/>
                  <w:vAlign w:val="center"/>
                </w:tcPr>
                <w:p w14:paraId="1A4D7970">
                  <w:pPr>
                    <w:pStyle w:val="22"/>
                    <w:spacing w:before="0" w:line="400" w:lineRule="exact"/>
                    <w:ind w:left="0"/>
                    <w:jc w:val="center"/>
                    <w:rPr>
                      <w:color w:val="auto"/>
                      <w:sz w:val="22"/>
                      <w:szCs w:val="22"/>
                      <w:highlight w:val="none"/>
                    </w:rPr>
                  </w:pPr>
                  <w:r>
                    <w:rPr>
                      <w:b/>
                      <w:bCs/>
                      <w:color w:val="auto"/>
                      <w:spacing w:val="-2"/>
                      <w:sz w:val="22"/>
                      <w:szCs w:val="22"/>
                      <w:highlight w:val="none"/>
                    </w:rPr>
                    <w:t>3</w:t>
                  </w:r>
                </w:p>
              </w:tc>
              <w:tc>
                <w:tcPr>
                  <w:tcW w:w="1002" w:type="dxa"/>
                  <w:vAlign w:val="center"/>
                </w:tcPr>
                <w:p w14:paraId="0E940E78">
                  <w:pPr>
                    <w:pStyle w:val="22"/>
                    <w:spacing w:before="0" w:line="400" w:lineRule="exact"/>
                    <w:ind w:left="0"/>
                    <w:jc w:val="center"/>
                    <w:rPr>
                      <w:color w:val="auto"/>
                      <w:sz w:val="22"/>
                      <w:szCs w:val="22"/>
                      <w:highlight w:val="none"/>
                    </w:rPr>
                  </w:pPr>
                  <w:r>
                    <w:rPr>
                      <w:color w:val="auto"/>
                      <w:spacing w:val="-2"/>
                      <w:sz w:val="22"/>
                      <w:szCs w:val="22"/>
                      <w:highlight w:val="none"/>
                    </w:rPr>
                    <w:t>含水率</w:t>
                  </w:r>
                  <w:r>
                    <w:rPr>
                      <w:b/>
                      <w:bCs/>
                      <w:color w:val="auto"/>
                      <w:spacing w:val="-2"/>
                      <w:sz w:val="22"/>
                      <w:szCs w:val="22"/>
                      <w:highlight w:val="none"/>
                    </w:rPr>
                    <w:t>/%</w:t>
                  </w:r>
                </w:p>
              </w:tc>
              <w:tc>
                <w:tcPr>
                  <w:tcW w:w="1575" w:type="dxa"/>
                  <w:vAlign w:val="center"/>
                </w:tcPr>
                <w:p w14:paraId="2B4447A3">
                  <w:pPr>
                    <w:pStyle w:val="22"/>
                    <w:spacing w:before="0" w:line="400" w:lineRule="exact"/>
                    <w:ind w:left="0"/>
                    <w:jc w:val="center"/>
                    <w:rPr>
                      <w:color w:val="auto"/>
                      <w:sz w:val="22"/>
                      <w:szCs w:val="22"/>
                      <w:highlight w:val="none"/>
                    </w:rPr>
                  </w:pPr>
                  <w:r>
                    <w:rPr>
                      <w:b/>
                      <w:bCs/>
                      <w:color w:val="auto"/>
                      <w:spacing w:val="-2"/>
                      <w:position w:val="-9"/>
                      <w:sz w:val="22"/>
                      <w:szCs w:val="22"/>
                      <w:highlight w:val="none"/>
                    </w:rPr>
                    <w:t>-</w:t>
                  </w:r>
                </w:p>
              </w:tc>
              <w:tc>
                <w:tcPr>
                  <w:tcW w:w="1616" w:type="dxa"/>
                  <w:vAlign w:val="center"/>
                </w:tcPr>
                <w:p w14:paraId="7CC3CBA5">
                  <w:pPr>
                    <w:pStyle w:val="22"/>
                    <w:spacing w:before="0" w:line="400" w:lineRule="exact"/>
                    <w:ind w:left="0"/>
                    <w:jc w:val="center"/>
                    <w:rPr>
                      <w:color w:val="auto"/>
                      <w:sz w:val="22"/>
                      <w:szCs w:val="22"/>
                      <w:highlight w:val="none"/>
                    </w:rPr>
                  </w:pPr>
                  <w:r>
                    <w:rPr>
                      <w:b/>
                      <w:bCs/>
                      <w:color w:val="auto"/>
                      <w:spacing w:val="-2"/>
                      <w:sz w:val="22"/>
                      <w:szCs w:val="22"/>
                      <w:highlight w:val="none"/>
                    </w:rPr>
                    <w:t>W</w:t>
                  </w:r>
                  <w:r>
                    <w:rPr>
                      <w:color w:val="auto"/>
                      <w:spacing w:val="-2"/>
                      <w:sz w:val="22"/>
                      <w:szCs w:val="22"/>
                      <w:highlight w:val="none"/>
                    </w:rPr>
                    <w:t>±</w:t>
                  </w:r>
                  <w:r>
                    <w:rPr>
                      <w:b/>
                      <w:bCs/>
                      <w:color w:val="auto"/>
                      <w:spacing w:val="-2"/>
                      <w:sz w:val="22"/>
                      <w:szCs w:val="22"/>
                      <w:highlight w:val="none"/>
                    </w:rPr>
                    <w:t>2.0</w:t>
                  </w:r>
                </w:p>
              </w:tc>
            </w:tr>
            <w:tr w14:paraId="4FC15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02" w:type="dxa"/>
                  <w:vAlign w:val="center"/>
                </w:tcPr>
                <w:p w14:paraId="330AC330">
                  <w:pPr>
                    <w:pStyle w:val="22"/>
                    <w:spacing w:before="0" w:line="400" w:lineRule="exact"/>
                    <w:ind w:left="0"/>
                    <w:jc w:val="center"/>
                    <w:rPr>
                      <w:color w:val="auto"/>
                      <w:sz w:val="22"/>
                      <w:szCs w:val="22"/>
                      <w:highlight w:val="none"/>
                    </w:rPr>
                  </w:pPr>
                  <w:r>
                    <w:rPr>
                      <w:b/>
                      <w:bCs/>
                      <w:color w:val="auto"/>
                      <w:spacing w:val="-2"/>
                      <w:sz w:val="22"/>
                      <w:szCs w:val="22"/>
                      <w:highlight w:val="none"/>
                    </w:rPr>
                    <w:t>4</w:t>
                  </w:r>
                </w:p>
              </w:tc>
              <w:tc>
                <w:tcPr>
                  <w:tcW w:w="1002" w:type="dxa"/>
                  <w:vAlign w:val="center"/>
                </w:tcPr>
                <w:p w14:paraId="141F2D3A">
                  <w:pPr>
                    <w:pStyle w:val="22"/>
                    <w:spacing w:before="0" w:line="400" w:lineRule="exact"/>
                    <w:ind w:left="0"/>
                    <w:jc w:val="center"/>
                    <w:rPr>
                      <w:color w:val="auto"/>
                      <w:sz w:val="22"/>
                      <w:szCs w:val="22"/>
                      <w:highlight w:val="none"/>
                    </w:rPr>
                  </w:pPr>
                  <w:r>
                    <w:rPr>
                      <w:color w:val="auto"/>
                      <w:spacing w:val="-4"/>
                      <w:sz w:val="22"/>
                      <w:szCs w:val="22"/>
                      <w:highlight w:val="none"/>
                    </w:rPr>
                    <w:t>密度</w:t>
                  </w:r>
                  <w:r>
                    <w:rPr>
                      <w:b/>
                      <w:bCs/>
                      <w:color w:val="auto"/>
                      <w:spacing w:val="-4"/>
                      <w:sz w:val="22"/>
                      <w:szCs w:val="22"/>
                      <w:highlight w:val="none"/>
                    </w:rPr>
                    <w:t>/</w:t>
                  </w:r>
                </w:p>
                <w:p w14:paraId="4F9FE708">
                  <w:pPr>
                    <w:pStyle w:val="22"/>
                    <w:spacing w:before="0" w:line="400" w:lineRule="exact"/>
                    <w:ind w:left="0"/>
                    <w:jc w:val="center"/>
                    <w:rPr>
                      <w:color w:val="auto"/>
                      <w:sz w:val="22"/>
                      <w:szCs w:val="22"/>
                      <w:highlight w:val="none"/>
                    </w:rPr>
                  </w:pPr>
                  <w:r>
                    <w:rPr>
                      <w:color w:val="auto"/>
                      <w:spacing w:val="-3"/>
                      <w:sz w:val="22"/>
                      <w:szCs w:val="22"/>
                      <w:highlight w:val="none"/>
                    </w:rPr>
                    <w:t>（</w:t>
                  </w:r>
                  <w:r>
                    <w:rPr>
                      <w:b/>
                      <w:bCs/>
                      <w:color w:val="auto"/>
                      <w:spacing w:val="-3"/>
                      <w:sz w:val="22"/>
                      <w:szCs w:val="22"/>
                      <w:highlight w:val="none"/>
                    </w:rPr>
                    <w:t>g/cm</w:t>
                  </w:r>
                  <w:r>
                    <w:rPr>
                      <w:b/>
                      <w:bCs/>
                      <w:color w:val="auto"/>
                      <w:spacing w:val="-3"/>
                      <w:position w:val="8"/>
                      <w:sz w:val="22"/>
                      <w:szCs w:val="22"/>
                      <w:highlight w:val="none"/>
                    </w:rPr>
                    <w:t>3</w:t>
                  </w:r>
                  <w:r>
                    <w:rPr>
                      <w:color w:val="auto"/>
                      <w:spacing w:val="-3"/>
                      <w:sz w:val="22"/>
                      <w:szCs w:val="22"/>
                      <w:highlight w:val="none"/>
                    </w:rPr>
                    <w:t>）</w:t>
                  </w:r>
                </w:p>
              </w:tc>
              <w:tc>
                <w:tcPr>
                  <w:tcW w:w="1575" w:type="dxa"/>
                  <w:vAlign w:val="center"/>
                </w:tcPr>
                <w:p w14:paraId="38FCE015">
                  <w:pPr>
                    <w:pStyle w:val="22"/>
                    <w:spacing w:before="0" w:line="400" w:lineRule="exact"/>
                    <w:ind w:left="0"/>
                    <w:jc w:val="center"/>
                    <w:rPr>
                      <w:color w:val="auto"/>
                      <w:sz w:val="22"/>
                      <w:szCs w:val="22"/>
                      <w:highlight w:val="none"/>
                    </w:rPr>
                  </w:pPr>
                  <w:r>
                    <w:rPr>
                      <w:b/>
                      <w:bCs/>
                      <w:color w:val="auto"/>
                      <w:spacing w:val="-2"/>
                      <w:sz w:val="22"/>
                      <w:szCs w:val="22"/>
                      <w:highlight w:val="none"/>
                    </w:rPr>
                    <w:t>D</w:t>
                  </w:r>
                  <w:r>
                    <w:rPr>
                      <w:color w:val="auto"/>
                      <w:spacing w:val="-2"/>
                      <w:sz w:val="22"/>
                      <w:szCs w:val="22"/>
                      <w:highlight w:val="none"/>
                    </w:rPr>
                    <w:t>±</w:t>
                  </w:r>
                  <w:r>
                    <w:rPr>
                      <w:b/>
                      <w:bCs/>
                      <w:color w:val="auto"/>
                      <w:spacing w:val="-2"/>
                      <w:sz w:val="22"/>
                      <w:szCs w:val="22"/>
                      <w:highlight w:val="none"/>
                    </w:rPr>
                    <w:t>0.03</w:t>
                  </w:r>
                </w:p>
              </w:tc>
              <w:tc>
                <w:tcPr>
                  <w:tcW w:w="1616" w:type="dxa"/>
                  <w:vAlign w:val="center"/>
                </w:tcPr>
                <w:p w14:paraId="485D13AE">
                  <w:pPr>
                    <w:pStyle w:val="22"/>
                    <w:spacing w:before="0" w:line="400" w:lineRule="exact"/>
                    <w:ind w:left="0"/>
                    <w:jc w:val="center"/>
                    <w:rPr>
                      <w:color w:val="auto"/>
                      <w:sz w:val="22"/>
                      <w:szCs w:val="22"/>
                      <w:highlight w:val="none"/>
                    </w:rPr>
                  </w:pPr>
                  <w:r>
                    <w:rPr>
                      <w:b/>
                      <w:bCs/>
                      <w:color w:val="auto"/>
                      <w:spacing w:val="-2"/>
                      <w:sz w:val="22"/>
                      <w:szCs w:val="22"/>
                      <w:highlight w:val="none"/>
                    </w:rPr>
                    <w:t>D</w:t>
                  </w:r>
                  <w:r>
                    <w:rPr>
                      <w:color w:val="auto"/>
                      <w:spacing w:val="-2"/>
                      <w:sz w:val="22"/>
                      <w:szCs w:val="22"/>
                      <w:highlight w:val="none"/>
                    </w:rPr>
                    <w:t>±</w:t>
                  </w:r>
                  <w:r>
                    <w:rPr>
                      <w:b/>
                      <w:bCs/>
                      <w:color w:val="auto"/>
                      <w:spacing w:val="-2"/>
                      <w:sz w:val="22"/>
                      <w:szCs w:val="22"/>
                      <w:highlight w:val="none"/>
                    </w:rPr>
                    <w:t>0.03</w:t>
                  </w:r>
                </w:p>
              </w:tc>
            </w:tr>
            <w:tr w14:paraId="44F1B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2" w:type="dxa"/>
                  <w:vAlign w:val="center"/>
                </w:tcPr>
                <w:p w14:paraId="4B925D85">
                  <w:pPr>
                    <w:pStyle w:val="22"/>
                    <w:spacing w:before="0" w:line="400" w:lineRule="exact"/>
                    <w:ind w:left="0"/>
                    <w:jc w:val="center"/>
                    <w:rPr>
                      <w:color w:val="auto"/>
                      <w:sz w:val="22"/>
                      <w:szCs w:val="22"/>
                      <w:highlight w:val="none"/>
                    </w:rPr>
                  </w:pPr>
                  <w:r>
                    <w:rPr>
                      <w:b/>
                      <w:bCs/>
                      <w:color w:val="auto"/>
                      <w:spacing w:val="-2"/>
                      <w:sz w:val="22"/>
                      <w:szCs w:val="22"/>
                      <w:highlight w:val="none"/>
                    </w:rPr>
                    <w:t>5</w:t>
                  </w:r>
                </w:p>
              </w:tc>
              <w:tc>
                <w:tcPr>
                  <w:tcW w:w="1002" w:type="dxa"/>
                  <w:vAlign w:val="center"/>
                </w:tcPr>
                <w:p w14:paraId="45DF0AAC">
                  <w:pPr>
                    <w:pStyle w:val="22"/>
                    <w:spacing w:before="0" w:line="400" w:lineRule="exact"/>
                    <w:ind w:left="0"/>
                    <w:jc w:val="center"/>
                    <w:rPr>
                      <w:color w:val="auto"/>
                      <w:sz w:val="22"/>
                      <w:szCs w:val="22"/>
                      <w:highlight w:val="none"/>
                    </w:rPr>
                  </w:pPr>
                  <w:r>
                    <w:rPr>
                      <w:b/>
                      <w:bCs/>
                      <w:color w:val="auto"/>
                      <w:spacing w:val="-3"/>
                      <w:sz w:val="22"/>
                      <w:szCs w:val="22"/>
                      <w:highlight w:val="none"/>
                    </w:rPr>
                    <w:t>PH</w:t>
                  </w:r>
                  <w:r>
                    <w:rPr>
                      <w:color w:val="auto"/>
                      <w:spacing w:val="-35"/>
                      <w:sz w:val="22"/>
                      <w:szCs w:val="22"/>
                      <w:highlight w:val="none"/>
                    </w:rPr>
                    <w:t xml:space="preserve"> </w:t>
                  </w:r>
                  <w:r>
                    <w:rPr>
                      <w:color w:val="auto"/>
                      <w:spacing w:val="-3"/>
                      <w:sz w:val="22"/>
                      <w:szCs w:val="22"/>
                      <w:highlight w:val="none"/>
                    </w:rPr>
                    <w:t>值</w:t>
                  </w:r>
                </w:p>
              </w:tc>
              <w:tc>
                <w:tcPr>
                  <w:tcW w:w="1575" w:type="dxa"/>
                  <w:vAlign w:val="center"/>
                </w:tcPr>
                <w:p w14:paraId="4B5B3E19">
                  <w:pPr>
                    <w:pStyle w:val="22"/>
                    <w:spacing w:before="0" w:line="400" w:lineRule="exact"/>
                    <w:ind w:left="0"/>
                    <w:jc w:val="center"/>
                    <w:rPr>
                      <w:color w:val="auto"/>
                      <w:sz w:val="22"/>
                      <w:szCs w:val="22"/>
                      <w:highlight w:val="none"/>
                    </w:rPr>
                  </w:pPr>
                  <w:r>
                    <w:rPr>
                      <w:b/>
                      <w:bCs/>
                      <w:color w:val="auto"/>
                      <w:spacing w:val="-2"/>
                      <w:sz w:val="22"/>
                      <w:szCs w:val="22"/>
                      <w:highlight w:val="none"/>
                    </w:rPr>
                    <w:t>A</w:t>
                  </w:r>
                  <w:r>
                    <w:rPr>
                      <w:color w:val="auto"/>
                      <w:spacing w:val="-2"/>
                      <w:sz w:val="22"/>
                      <w:szCs w:val="22"/>
                      <w:highlight w:val="none"/>
                    </w:rPr>
                    <w:t>±</w:t>
                  </w:r>
                  <w:r>
                    <w:rPr>
                      <w:b/>
                      <w:bCs/>
                      <w:color w:val="auto"/>
                      <w:spacing w:val="-2"/>
                      <w:sz w:val="22"/>
                      <w:szCs w:val="22"/>
                      <w:highlight w:val="none"/>
                    </w:rPr>
                    <w:t>1.0</w:t>
                  </w:r>
                </w:p>
              </w:tc>
              <w:tc>
                <w:tcPr>
                  <w:tcW w:w="1616" w:type="dxa"/>
                  <w:vAlign w:val="center"/>
                </w:tcPr>
                <w:p w14:paraId="35526146">
                  <w:pPr>
                    <w:pStyle w:val="22"/>
                    <w:spacing w:before="0" w:line="400" w:lineRule="exact"/>
                    <w:ind w:left="0"/>
                    <w:jc w:val="center"/>
                    <w:rPr>
                      <w:color w:val="auto"/>
                      <w:sz w:val="22"/>
                      <w:szCs w:val="22"/>
                      <w:highlight w:val="none"/>
                    </w:rPr>
                  </w:pPr>
                  <w:r>
                    <w:rPr>
                      <w:b/>
                      <w:bCs/>
                      <w:color w:val="auto"/>
                      <w:spacing w:val="-2"/>
                      <w:position w:val="-9"/>
                      <w:sz w:val="22"/>
                      <w:szCs w:val="22"/>
                      <w:highlight w:val="none"/>
                    </w:rPr>
                    <w:t>-</w:t>
                  </w:r>
                </w:p>
              </w:tc>
            </w:tr>
            <w:tr w14:paraId="66C1E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702" w:type="dxa"/>
                  <w:vAlign w:val="center"/>
                </w:tcPr>
                <w:p w14:paraId="50850599">
                  <w:pPr>
                    <w:pStyle w:val="22"/>
                    <w:spacing w:before="0" w:line="400" w:lineRule="exact"/>
                    <w:ind w:left="0"/>
                    <w:jc w:val="center"/>
                    <w:rPr>
                      <w:color w:val="auto"/>
                      <w:sz w:val="22"/>
                      <w:szCs w:val="22"/>
                      <w:highlight w:val="none"/>
                    </w:rPr>
                  </w:pPr>
                  <w:r>
                    <w:rPr>
                      <w:b/>
                      <w:bCs/>
                      <w:color w:val="auto"/>
                      <w:spacing w:val="-2"/>
                      <w:sz w:val="22"/>
                      <w:szCs w:val="22"/>
                      <w:highlight w:val="none"/>
                    </w:rPr>
                    <w:t>6</w:t>
                  </w:r>
                </w:p>
              </w:tc>
              <w:tc>
                <w:tcPr>
                  <w:tcW w:w="1002" w:type="dxa"/>
                  <w:vAlign w:val="center"/>
                </w:tcPr>
                <w:p w14:paraId="211A91DB">
                  <w:pPr>
                    <w:pStyle w:val="22"/>
                    <w:spacing w:before="0" w:line="400" w:lineRule="exact"/>
                    <w:ind w:left="0"/>
                    <w:jc w:val="center"/>
                    <w:rPr>
                      <w:color w:val="auto"/>
                      <w:sz w:val="22"/>
                      <w:szCs w:val="22"/>
                      <w:highlight w:val="none"/>
                    </w:rPr>
                  </w:pPr>
                  <w:r>
                    <w:rPr>
                      <w:color w:val="auto"/>
                      <w:spacing w:val="-4"/>
                      <w:sz w:val="22"/>
                      <w:szCs w:val="22"/>
                      <w:highlight w:val="none"/>
                    </w:rPr>
                    <w:t>细度</w:t>
                  </w:r>
                </w:p>
              </w:tc>
              <w:tc>
                <w:tcPr>
                  <w:tcW w:w="1575" w:type="dxa"/>
                  <w:vAlign w:val="center"/>
                </w:tcPr>
                <w:p w14:paraId="43B0BCCE">
                  <w:pPr>
                    <w:pStyle w:val="22"/>
                    <w:spacing w:before="0" w:line="400" w:lineRule="exact"/>
                    <w:ind w:left="0"/>
                    <w:jc w:val="center"/>
                    <w:rPr>
                      <w:color w:val="auto"/>
                      <w:sz w:val="22"/>
                      <w:szCs w:val="22"/>
                      <w:highlight w:val="none"/>
                    </w:rPr>
                  </w:pPr>
                  <w:r>
                    <w:rPr>
                      <w:b/>
                      <w:bCs/>
                      <w:color w:val="auto"/>
                      <w:spacing w:val="-2"/>
                      <w:position w:val="-9"/>
                      <w:sz w:val="22"/>
                      <w:szCs w:val="22"/>
                      <w:highlight w:val="none"/>
                    </w:rPr>
                    <w:t>-</w:t>
                  </w:r>
                </w:p>
              </w:tc>
              <w:tc>
                <w:tcPr>
                  <w:tcW w:w="1616" w:type="dxa"/>
                  <w:vAlign w:val="center"/>
                </w:tcPr>
                <w:p w14:paraId="36613335">
                  <w:pPr>
                    <w:pStyle w:val="22"/>
                    <w:spacing w:before="0" w:line="400" w:lineRule="exact"/>
                    <w:ind w:left="0" w:right="0" w:firstLine="0"/>
                    <w:jc w:val="center"/>
                    <w:rPr>
                      <w:color w:val="auto"/>
                      <w:sz w:val="22"/>
                      <w:szCs w:val="22"/>
                      <w:highlight w:val="none"/>
                    </w:rPr>
                  </w:pPr>
                  <w:r>
                    <w:rPr>
                      <w:b/>
                      <w:bCs/>
                      <w:color w:val="auto"/>
                      <w:spacing w:val="-9"/>
                      <w:sz w:val="22"/>
                      <w:szCs w:val="22"/>
                      <w:highlight w:val="none"/>
                    </w:rPr>
                    <w:t>80</w:t>
                  </w:r>
                  <w:r>
                    <w:rPr>
                      <w:color w:val="auto"/>
                      <w:spacing w:val="-9"/>
                      <w:sz w:val="22"/>
                      <w:szCs w:val="22"/>
                      <w:highlight w:val="none"/>
                    </w:rPr>
                    <w:t>μ</w:t>
                  </w:r>
                  <w:r>
                    <w:rPr>
                      <w:b/>
                      <w:bCs/>
                      <w:color w:val="auto"/>
                      <w:spacing w:val="-9"/>
                      <w:sz w:val="22"/>
                      <w:szCs w:val="22"/>
                      <w:highlight w:val="none"/>
                    </w:rPr>
                    <w:t>m</w:t>
                  </w:r>
                  <w:r>
                    <w:rPr>
                      <w:color w:val="auto"/>
                      <w:spacing w:val="-35"/>
                      <w:sz w:val="22"/>
                      <w:szCs w:val="22"/>
                      <w:highlight w:val="none"/>
                    </w:rPr>
                    <w:t xml:space="preserve"> </w:t>
                  </w:r>
                  <w:r>
                    <w:rPr>
                      <w:color w:val="auto"/>
                      <w:spacing w:val="-9"/>
                      <w:sz w:val="22"/>
                      <w:szCs w:val="22"/>
                      <w:highlight w:val="none"/>
                    </w:rPr>
                    <w:t>方孔筛筛余</w:t>
                  </w:r>
                  <w:r>
                    <w:rPr>
                      <w:color w:val="auto"/>
                      <w:spacing w:val="-6"/>
                      <w:sz w:val="22"/>
                      <w:szCs w:val="22"/>
                      <w:highlight w:val="none"/>
                    </w:rPr>
                    <w:t>不大于</w:t>
                  </w:r>
                  <w:r>
                    <w:rPr>
                      <w:color w:val="auto"/>
                      <w:spacing w:val="-25"/>
                      <w:sz w:val="22"/>
                      <w:szCs w:val="22"/>
                      <w:highlight w:val="none"/>
                    </w:rPr>
                    <w:t xml:space="preserve"> </w:t>
                  </w:r>
                  <w:r>
                    <w:rPr>
                      <w:b/>
                      <w:bCs/>
                      <w:color w:val="auto"/>
                      <w:spacing w:val="-6"/>
                      <w:sz w:val="22"/>
                      <w:szCs w:val="22"/>
                      <w:highlight w:val="none"/>
                    </w:rPr>
                    <w:t>15%</w:t>
                  </w:r>
                </w:p>
              </w:tc>
            </w:tr>
            <w:tr w14:paraId="272E5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4895" w:type="dxa"/>
                  <w:gridSpan w:val="4"/>
                  <w:vAlign w:val="top"/>
                </w:tcPr>
                <w:p w14:paraId="10107CBE">
                  <w:pPr>
                    <w:pStyle w:val="22"/>
                    <w:spacing w:before="0" w:line="400" w:lineRule="exact"/>
                    <w:ind w:left="0"/>
                    <w:rPr>
                      <w:color w:val="auto"/>
                      <w:sz w:val="22"/>
                      <w:szCs w:val="22"/>
                      <w:highlight w:val="none"/>
                    </w:rPr>
                  </w:pPr>
                  <w:r>
                    <w:rPr>
                      <w:color w:val="auto"/>
                      <w:spacing w:val="-1"/>
                      <w:sz w:val="22"/>
                      <w:szCs w:val="22"/>
                      <w:highlight w:val="none"/>
                    </w:rPr>
                    <w:t>注：</w:t>
                  </w:r>
                  <w:r>
                    <w:rPr>
                      <w:b/>
                      <w:bCs/>
                      <w:color w:val="auto"/>
                      <w:spacing w:val="-1"/>
                      <w:sz w:val="22"/>
                      <w:szCs w:val="22"/>
                      <w:highlight w:val="none"/>
                    </w:rPr>
                    <w:t>S</w:t>
                  </w:r>
                  <w:r>
                    <w:rPr>
                      <w:color w:val="auto"/>
                      <w:spacing w:val="-1"/>
                      <w:sz w:val="22"/>
                      <w:szCs w:val="22"/>
                      <w:highlight w:val="none"/>
                    </w:rPr>
                    <w:t>、</w:t>
                  </w:r>
                  <w:r>
                    <w:rPr>
                      <w:b/>
                      <w:bCs/>
                      <w:color w:val="auto"/>
                      <w:spacing w:val="-1"/>
                      <w:sz w:val="22"/>
                      <w:szCs w:val="22"/>
                      <w:highlight w:val="none"/>
                    </w:rPr>
                    <w:t>W</w:t>
                  </w:r>
                  <w:r>
                    <w:rPr>
                      <w:color w:val="auto"/>
                      <w:spacing w:val="-1"/>
                      <w:sz w:val="22"/>
                      <w:szCs w:val="22"/>
                      <w:highlight w:val="none"/>
                    </w:rPr>
                    <w:t>、</w:t>
                  </w:r>
                  <w:r>
                    <w:rPr>
                      <w:b/>
                      <w:bCs/>
                      <w:color w:val="auto"/>
                      <w:spacing w:val="-1"/>
                      <w:sz w:val="22"/>
                      <w:szCs w:val="22"/>
                      <w:highlight w:val="none"/>
                    </w:rPr>
                    <w:t>D</w:t>
                  </w:r>
                  <w:r>
                    <w:rPr>
                      <w:color w:val="auto"/>
                      <w:spacing w:val="-1"/>
                      <w:sz w:val="22"/>
                      <w:szCs w:val="22"/>
                      <w:highlight w:val="none"/>
                    </w:rPr>
                    <w:t>、</w:t>
                  </w:r>
                  <w:r>
                    <w:rPr>
                      <w:b/>
                      <w:bCs/>
                      <w:color w:val="auto"/>
                      <w:spacing w:val="-1"/>
                      <w:sz w:val="22"/>
                      <w:szCs w:val="22"/>
                      <w:highlight w:val="none"/>
                    </w:rPr>
                    <w:t>A</w:t>
                  </w:r>
                  <w:r>
                    <w:rPr>
                      <w:color w:val="auto"/>
                      <w:spacing w:val="-34"/>
                      <w:sz w:val="22"/>
                      <w:szCs w:val="22"/>
                      <w:highlight w:val="none"/>
                    </w:rPr>
                    <w:t xml:space="preserve"> </w:t>
                  </w:r>
                  <w:r>
                    <w:rPr>
                      <w:color w:val="auto"/>
                      <w:spacing w:val="-1"/>
                      <w:sz w:val="22"/>
                      <w:szCs w:val="22"/>
                      <w:highlight w:val="none"/>
                    </w:rPr>
                    <w:t>分别为含固量、含水率、</w:t>
                  </w:r>
                  <w:r>
                    <w:rPr>
                      <w:color w:val="auto"/>
                      <w:spacing w:val="-2"/>
                      <w:sz w:val="22"/>
                      <w:szCs w:val="22"/>
                      <w:highlight w:val="none"/>
                    </w:rPr>
                    <w:t>密度、</w:t>
                  </w:r>
                  <w:r>
                    <w:rPr>
                      <w:b/>
                      <w:bCs/>
                      <w:color w:val="auto"/>
                      <w:spacing w:val="-2"/>
                      <w:sz w:val="22"/>
                      <w:szCs w:val="22"/>
                      <w:highlight w:val="none"/>
                    </w:rPr>
                    <w:t>PH</w:t>
                  </w:r>
                  <w:r>
                    <w:rPr>
                      <w:color w:val="auto"/>
                      <w:spacing w:val="-36"/>
                      <w:sz w:val="22"/>
                      <w:szCs w:val="22"/>
                      <w:highlight w:val="none"/>
                    </w:rPr>
                    <w:t xml:space="preserve"> </w:t>
                  </w:r>
                  <w:r>
                    <w:rPr>
                      <w:color w:val="auto"/>
                      <w:spacing w:val="-2"/>
                      <w:sz w:val="22"/>
                      <w:szCs w:val="22"/>
                      <w:highlight w:val="none"/>
                    </w:rPr>
                    <w:t>值的生产厂控制值</w:t>
                  </w:r>
                </w:p>
              </w:tc>
            </w:tr>
          </w:tbl>
          <w:p w14:paraId="63DF73EB">
            <w:pPr>
              <w:rPr>
                <w:rFonts w:ascii="Arial"/>
                <w:color w:val="auto"/>
                <w:sz w:val="22"/>
                <w:highlight w:val="none"/>
              </w:rPr>
            </w:pPr>
          </w:p>
        </w:tc>
        <w:tc>
          <w:tcPr>
            <w:tcW w:w="1909" w:type="dxa"/>
            <w:vAlign w:val="center"/>
          </w:tcPr>
          <w:p w14:paraId="49DDB410">
            <w:pPr>
              <w:pStyle w:val="22"/>
              <w:spacing w:before="78" w:line="241" w:lineRule="auto"/>
              <w:ind w:left="120" w:right="112" w:firstLine="3"/>
              <w:jc w:val="center"/>
              <w:rPr>
                <w:color w:val="auto"/>
                <w:sz w:val="22"/>
                <w:szCs w:val="22"/>
                <w:highlight w:val="none"/>
              </w:rPr>
            </w:pPr>
            <w:r>
              <w:rPr>
                <w:color w:val="auto"/>
                <w:spacing w:val="3"/>
                <w:sz w:val="22"/>
                <w:szCs w:val="22"/>
                <w:highlight w:val="none"/>
              </w:rPr>
              <w:t>不超过</w:t>
            </w:r>
            <w:r>
              <w:rPr>
                <w:b/>
                <w:bCs/>
                <w:color w:val="auto"/>
                <w:spacing w:val="3"/>
                <w:sz w:val="22"/>
                <w:szCs w:val="22"/>
                <w:highlight w:val="none"/>
              </w:rPr>
              <w:t>20t</w:t>
            </w:r>
            <w:r>
              <w:rPr>
                <w:color w:val="auto"/>
                <w:spacing w:val="-46"/>
                <w:sz w:val="22"/>
                <w:szCs w:val="22"/>
                <w:highlight w:val="none"/>
              </w:rPr>
              <w:t xml:space="preserve"> </w:t>
            </w:r>
            <w:r>
              <w:rPr>
                <w:color w:val="auto"/>
                <w:spacing w:val="3"/>
                <w:sz w:val="22"/>
                <w:szCs w:val="22"/>
                <w:highlight w:val="none"/>
              </w:rPr>
              <w:t>为一</w:t>
            </w:r>
            <w:r>
              <w:rPr>
                <w:color w:val="auto"/>
                <w:spacing w:val="-2"/>
                <w:sz w:val="22"/>
                <w:szCs w:val="22"/>
                <w:highlight w:val="none"/>
              </w:rPr>
              <w:t>个检验批，每个</w:t>
            </w:r>
            <w:r>
              <w:rPr>
                <w:color w:val="auto"/>
                <w:spacing w:val="-8"/>
                <w:sz w:val="22"/>
                <w:szCs w:val="22"/>
                <w:highlight w:val="none"/>
              </w:rPr>
              <w:t>检验批检验</w:t>
            </w:r>
            <w:r>
              <w:rPr>
                <w:color w:val="auto"/>
                <w:spacing w:val="-33"/>
                <w:sz w:val="22"/>
                <w:szCs w:val="22"/>
                <w:highlight w:val="none"/>
              </w:rPr>
              <w:t xml:space="preserve"> </w:t>
            </w:r>
            <w:r>
              <w:rPr>
                <w:b/>
                <w:bCs/>
                <w:color w:val="auto"/>
                <w:spacing w:val="-8"/>
                <w:sz w:val="22"/>
                <w:szCs w:val="22"/>
                <w:highlight w:val="none"/>
              </w:rPr>
              <w:t>1</w:t>
            </w:r>
            <w:r>
              <w:rPr>
                <w:color w:val="auto"/>
                <w:spacing w:val="-44"/>
                <w:sz w:val="22"/>
                <w:szCs w:val="22"/>
                <w:highlight w:val="none"/>
              </w:rPr>
              <w:t xml:space="preserve"> </w:t>
            </w:r>
            <w:r>
              <w:rPr>
                <w:color w:val="auto"/>
                <w:spacing w:val="-8"/>
                <w:sz w:val="22"/>
                <w:szCs w:val="22"/>
                <w:highlight w:val="none"/>
              </w:rPr>
              <w:t>次</w:t>
            </w:r>
          </w:p>
        </w:tc>
        <w:tc>
          <w:tcPr>
            <w:tcW w:w="1384" w:type="dxa"/>
            <w:vAlign w:val="center"/>
          </w:tcPr>
          <w:p w14:paraId="1DC38BD8">
            <w:pPr>
              <w:pStyle w:val="22"/>
              <w:spacing w:before="78"/>
              <w:ind w:left="115" w:right="83" w:firstLine="100"/>
              <w:jc w:val="center"/>
              <w:rPr>
                <w:color w:val="auto"/>
                <w:sz w:val="22"/>
                <w:szCs w:val="22"/>
                <w:highlight w:val="none"/>
              </w:rPr>
            </w:pPr>
            <w:r>
              <w:rPr>
                <w:color w:val="auto"/>
                <w:spacing w:val="-9"/>
                <w:sz w:val="22"/>
                <w:szCs w:val="22"/>
                <w:highlight w:val="none"/>
              </w:rPr>
              <w:t>《土壤固</w:t>
            </w:r>
            <w:r>
              <w:rPr>
                <w:color w:val="auto"/>
                <w:spacing w:val="-4"/>
                <w:sz w:val="22"/>
                <w:szCs w:val="22"/>
                <w:highlight w:val="none"/>
              </w:rPr>
              <w:t>化外加剂》</w:t>
            </w:r>
          </w:p>
          <w:p w14:paraId="6D444CDB">
            <w:pPr>
              <w:pStyle w:val="22"/>
              <w:spacing w:before="1" w:line="218" w:lineRule="auto"/>
              <w:ind w:left="213"/>
              <w:jc w:val="center"/>
              <w:rPr>
                <w:color w:val="auto"/>
                <w:sz w:val="22"/>
                <w:szCs w:val="22"/>
                <w:highlight w:val="none"/>
              </w:rPr>
            </w:pPr>
            <w:r>
              <w:rPr>
                <w:b/>
                <w:bCs/>
                <w:color w:val="auto"/>
                <w:spacing w:val="-5"/>
                <w:sz w:val="22"/>
                <w:szCs w:val="22"/>
                <w:highlight w:val="none"/>
              </w:rPr>
              <w:t>CJ/T</w:t>
            </w:r>
            <w:r>
              <w:rPr>
                <w:color w:val="auto"/>
                <w:spacing w:val="11"/>
                <w:sz w:val="22"/>
                <w:szCs w:val="22"/>
                <w:highlight w:val="none"/>
              </w:rPr>
              <w:t xml:space="preserve"> </w:t>
            </w:r>
            <w:r>
              <w:rPr>
                <w:b/>
                <w:bCs/>
                <w:color w:val="auto"/>
                <w:spacing w:val="-5"/>
                <w:sz w:val="22"/>
                <w:szCs w:val="22"/>
                <w:highlight w:val="none"/>
              </w:rPr>
              <w:t>486</w:t>
            </w:r>
          </w:p>
        </w:tc>
      </w:tr>
      <w:tr w14:paraId="40A67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1295" w:type="dxa"/>
            <w:vAlign w:val="center"/>
          </w:tcPr>
          <w:p w14:paraId="3B2237EE">
            <w:pPr>
              <w:pStyle w:val="22"/>
              <w:spacing w:before="0" w:line="400" w:lineRule="exact"/>
              <w:ind w:left="0" w:right="0" w:firstLine="0"/>
              <w:jc w:val="center"/>
              <w:rPr>
                <w:color w:val="auto"/>
                <w:sz w:val="22"/>
                <w:szCs w:val="22"/>
                <w:highlight w:val="none"/>
              </w:rPr>
            </w:pPr>
            <w:r>
              <w:rPr>
                <w:color w:val="auto"/>
                <w:spacing w:val="-3"/>
                <w:sz w:val="22"/>
                <w:szCs w:val="22"/>
                <w:highlight w:val="none"/>
              </w:rPr>
              <w:t>液体土壤</w:t>
            </w:r>
            <w:r>
              <w:rPr>
                <w:color w:val="auto"/>
                <w:spacing w:val="-8"/>
                <w:sz w:val="22"/>
                <w:szCs w:val="22"/>
                <w:highlight w:val="none"/>
              </w:rPr>
              <w:t>固化剂的</w:t>
            </w:r>
            <w:r>
              <w:rPr>
                <w:color w:val="auto"/>
                <w:spacing w:val="30"/>
                <w:sz w:val="22"/>
                <w:szCs w:val="22"/>
                <w:highlight w:val="none"/>
              </w:rPr>
              <w:t>稳定性</w:t>
            </w:r>
          </w:p>
        </w:tc>
        <w:tc>
          <w:tcPr>
            <w:tcW w:w="5129" w:type="dxa"/>
            <w:vAlign w:val="top"/>
          </w:tcPr>
          <w:p w14:paraId="3E766F56">
            <w:pPr>
              <w:pStyle w:val="22"/>
              <w:spacing w:before="78" w:line="220" w:lineRule="auto"/>
              <w:ind w:left="115"/>
              <w:rPr>
                <w:rFonts w:ascii="Arial"/>
                <w:color w:val="auto"/>
                <w:sz w:val="22"/>
                <w:highlight w:val="none"/>
              </w:rPr>
            </w:pPr>
          </w:p>
          <w:p w14:paraId="32E9FF27">
            <w:pPr>
              <w:pStyle w:val="22"/>
              <w:spacing w:before="78" w:line="220" w:lineRule="auto"/>
              <w:ind w:left="115"/>
              <w:rPr>
                <w:color w:val="auto"/>
                <w:sz w:val="22"/>
                <w:szCs w:val="22"/>
                <w:highlight w:val="none"/>
              </w:rPr>
            </w:pPr>
            <w:r>
              <w:rPr>
                <w:b/>
                <w:bCs/>
                <w:color w:val="auto"/>
                <w:spacing w:val="-3"/>
                <w:sz w:val="22"/>
                <w:szCs w:val="22"/>
                <w:highlight w:val="none"/>
              </w:rPr>
              <w:t>5</w:t>
            </w:r>
            <w:r>
              <w:rPr>
                <w:color w:val="auto"/>
                <w:spacing w:val="-3"/>
                <w:sz w:val="22"/>
                <w:szCs w:val="22"/>
                <w:highlight w:val="none"/>
              </w:rPr>
              <w:t>℃放置</w:t>
            </w:r>
            <w:r>
              <w:rPr>
                <w:color w:val="auto"/>
                <w:spacing w:val="-36"/>
                <w:sz w:val="22"/>
                <w:szCs w:val="22"/>
                <w:highlight w:val="none"/>
              </w:rPr>
              <w:t xml:space="preserve"> </w:t>
            </w:r>
            <w:r>
              <w:rPr>
                <w:b/>
                <w:bCs/>
                <w:color w:val="auto"/>
                <w:spacing w:val="-3"/>
                <w:sz w:val="22"/>
                <w:szCs w:val="22"/>
                <w:highlight w:val="none"/>
              </w:rPr>
              <w:t>28d</w:t>
            </w:r>
            <w:r>
              <w:rPr>
                <w:color w:val="auto"/>
                <w:spacing w:val="-49"/>
                <w:sz w:val="22"/>
                <w:szCs w:val="22"/>
                <w:highlight w:val="none"/>
              </w:rPr>
              <w:t xml:space="preserve"> </w:t>
            </w:r>
            <w:r>
              <w:rPr>
                <w:color w:val="auto"/>
                <w:spacing w:val="-3"/>
                <w:sz w:val="22"/>
                <w:szCs w:val="22"/>
                <w:highlight w:val="none"/>
              </w:rPr>
              <w:t>后不产生析晶和分层，且上层液体</w:t>
            </w:r>
            <w:r>
              <w:rPr>
                <w:color w:val="auto"/>
                <w:spacing w:val="1"/>
                <w:sz w:val="22"/>
                <w:szCs w:val="22"/>
                <w:highlight w:val="none"/>
              </w:rPr>
              <w:t>含固量与</w:t>
            </w:r>
            <w:r>
              <w:rPr>
                <w:b/>
                <w:bCs/>
                <w:color w:val="auto"/>
                <w:spacing w:val="1"/>
                <w:sz w:val="22"/>
                <w:szCs w:val="22"/>
                <w:highlight w:val="none"/>
              </w:rPr>
              <w:t>20</w:t>
            </w:r>
            <w:r>
              <w:rPr>
                <w:color w:val="auto"/>
                <w:spacing w:val="1"/>
                <w:sz w:val="22"/>
                <w:szCs w:val="22"/>
                <w:highlight w:val="none"/>
              </w:rPr>
              <w:t>℃含固量差应不大于</w:t>
            </w:r>
            <w:r>
              <w:rPr>
                <w:color w:val="auto"/>
                <w:spacing w:val="-39"/>
                <w:sz w:val="22"/>
                <w:szCs w:val="22"/>
                <w:highlight w:val="none"/>
              </w:rPr>
              <w:t xml:space="preserve"> </w:t>
            </w:r>
            <w:r>
              <w:rPr>
                <w:b/>
                <w:bCs/>
                <w:color w:val="auto"/>
                <w:spacing w:val="1"/>
                <w:sz w:val="22"/>
                <w:szCs w:val="22"/>
                <w:highlight w:val="none"/>
              </w:rPr>
              <w:t>3%</w:t>
            </w:r>
            <w:r>
              <w:rPr>
                <w:color w:val="auto"/>
                <w:spacing w:val="1"/>
                <w:sz w:val="22"/>
                <w:szCs w:val="22"/>
                <w:highlight w:val="none"/>
              </w:rPr>
              <w:t>。</w:t>
            </w:r>
          </w:p>
        </w:tc>
        <w:tc>
          <w:tcPr>
            <w:tcW w:w="1909" w:type="dxa"/>
            <w:vAlign w:val="top"/>
          </w:tcPr>
          <w:p w14:paraId="7D7E81C6">
            <w:pPr>
              <w:pStyle w:val="22"/>
              <w:spacing w:before="305" w:line="241" w:lineRule="auto"/>
              <w:ind w:left="120" w:right="112" w:firstLine="3"/>
              <w:jc w:val="both"/>
              <w:rPr>
                <w:color w:val="auto"/>
                <w:sz w:val="22"/>
                <w:szCs w:val="22"/>
                <w:highlight w:val="none"/>
              </w:rPr>
            </w:pPr>
            <w:r>
              <w:rPr>
                <w:color w:val="auto"/>
                <w:spacing w:val="3"/>
                <w:sz w:val="22"/>
                <w:szCs w:val="22"/>
                <w:highlight w:val="none"/>
              </w:rPr>
              <w:t>不超过</w:t>
            </w:r>
            <w:r>
              <w:rPr>
                <w:b/>
                <w:bCs/>
                <w:color w:val="auto"/>
                <w:spacing w:val="3"/>
                <w:sz w:val="22"/>
                <w:szCs w:val="22"/>
                <w:highlight w:val="none"/>
              </w:rPr>
              <w:t>20t</w:t>
            </w:r>
            <w:r>
              <w:rPr>
                <w:color w:val="auto"/>
                <w:spacing w:val="-46"/>
                <w:sz w:val="22"/>
                <w:szCs w:val="22"/>
                <w:highlight w:val="none"/>
              </w:rPr>
              <w:t xml:space="preserve"> </w:t>
            </w:r>
            <w:r>
              <w:rPr>
                <w:color w:val="auto"/>
                <w:spacing w:val="3"/>
                <w:sz w:val="22"/>
                <w:szCs w:val="22"/>
                <w:highlight w:val="none"/>
              </w:rPr>
              <w:t>为一</w:t>
            </w:r>
            <w:r>
              <w:rPr>
                <w:color w:val="auto"/>
                <w:spacing w:val="-2"/>
                <w:sz w:val="22"/>
                <w:szCs w:val="22"/>
                <w:highlight w:val="none"/>
              </w:rPr>
              <w:t>个检验批，每个</w:t>
            </w:r>
            <w:r>
              <w:rPr>
                <w:color w:val="auto"/>
                <w:spacing w:val="-8"/>
                <w:sz w:val="22"/>
                <w:szCs w:val="22"/>
                <w:highlight w:val="none"/>
              </w:rPr>
              <w:t>检验批检验</w:t>
            </w:r>
            <w:r>
              <w:rPr>
                <w:color w:val="auto"/>
                <w:spacing w:val="-33"/>
                <w:sz w:val="22"/>
                <w:szCs w:val="22"/>
                <w:highlight w:val="none"/>
              </w:rPr>
              <w:t xml:space="preserve"> </w:t>
            </w:r>
            <w:r>
              <w:rPr>
                <w:b/>
                <w:bCs/>
                <w:color w:val="auto"/>
                <w:spacing w:val="-8"/>
                <w:sz w:val="22"/>
                <w:szCs w:val="22"/>
                <w:highlight w:val="none"/>
              </w:rPr>
              <w:t>1</w:t>
            </w:r>
            <w:r>
              <w:rPr>
                <w:color w:val="auto"/>
                <w:spacing w:val="-44"/>
                <w:sz w:val="22"/>
                <w:szCs w:val="22"/>
                <w:highlight w:val="none"/>
              </w:rPr>
              <w:t xml:space="preserve"> </w:t>
            </w:r>
            <w:r>
              <w:rPr>
                <w:color w:val="auto"/>
                <w:spacing w:val="-8"/>
                <w:sz w:val="22"/>
                <w:szCs w:val="22"/>
                <w:highlight w:val="none"/>
              </w:rPr>
              <w:t>次</w:t>
            </w:r>
          </w:p>
        </w:tc>
        <w:tc>
          <w:tcPr>
            <w:tcW w:w="1384" w:type="dxa"/>
            <w:vAlign w:val="top"/>
          </w:tcPr>
          <w:p w14:paraId="79309816">
            <w:pPr>
              <w:pStyle w:val="22"/>
              <w:spacing w:before="304"/>
              <w:ind w:left="115" w:right="83" w:firstLine="100"/>
              <w:rPr>
                <w:color w:val="auto"/>
                <w:sz w:val="22"/>
                <w:szCs w:val="22"/>
                <w:highlight w:val="none"/>
              </w:rPr>
            </w:pPr>
            <w:r>
              <w:rPr>
                <w:color w:val="auto"/>
                <w:spacing w:val="-9"/>
                <w:sz w:val="22"/>
                <w:szCs w:val="22"/>
                <w:highlight w:val="none"/>
              </w:rPr>
              <w:t>《土壤固</w:t>
            </w:r>
            <w:r>
              <w:rPr>
                <w:color w:val="auto"/>
                <w:spacing w:val="-4"/>
                <w:sz w:val="22"/>
                <w:szCs w:val="22"/>
                <w:highlight w:val="none"/>
              </w:rPr>
              <w:t>化外加剂》</w:t>
            </w:r>
          </w:p>
          <w:p w14:paraId="7F1DEF05">
            <w:pPr>
              <w:pStyle w:val="22"/>
              <w:spacing w:before="1" w:line="218" w:lineRule="auto"/>
              <w:ind w:left="213"/>
              <w:rPr>
                <w:color w:val="auto"/>
                <w:sz w:val="22"/>
                <w:szCs w:val="22"/>
                <w:highlight w:val="none"/>
              </w:rPr>
            </w:pPr>
            <w:r>
              <w:rPr>
                <w:b/>
                <w:bCs/>
                <w:color w:val="auto"/>
                <w:spacing w:val="-5"/>
                <w:sz w:val="22"/>
                <w:szCs w:val="22"/>
                <w:highlight w:val="none"/>
              </w:rPr>
              <w:t>CJ/T</w:t>
            </w:r>
            <w:r>
              <w:rPr>
                <w:color w:val="auto"/>
                <w:spacing w:val="11"/>
                <w:sz w:val="22"/>
                <w:szCs w:val="22"/>
                <w:highlight w:val="none"/>
              </w:rPr>
              <w:t xml:space="preserve"> </w:t>
            </w:r>
            <w:r>
              <w:rPr>
                <w:b/>
                <w:bCs/>
                <w:color w:val="auto"/>
                <w:spacing w:val="-5"/>
                <w:sz w:val="22"/>
                <w:szCs w:val="22"/>
                <w:highlight w:val="none"/>
              </w:rPr>
              <w:t>486</w:t>
            </w:r>
          </w:p>
        </w:tc>
      </w:tr>
    </w:tbl>
    <w:p w14:paraId="2974A874">
      <w:pPr>
        <w:pStyle w:val="5"/>
        <w:spacing w:before="268" w:line="220" w:lineRule="auto"/>
        <w:ind w:left="230"/>
        <w:outlineLvl w:val="1"/>
        <w:rPr>
          <w:b/>
          <w:bCs/>
          <w:color w:val="auto"/>
          <w:spacing w:val="-3"/>
          <w:sz w:val="22"/>
          <w:szCs w:val="22"/>
          <w:highlight w:val="none"/>
        </w:rPr>
      </w:pPr>
      <w:r>
        <w:rPr>
          <w:b/>
          <w:bCs/>
          <w:color w:val="auto"/>
          <w:spacing w:val="-3"/>
          <w:sz w:val="22"/>
          <w:szCs w:val="22"/>
          <w:highlight w:val="none"/>
        </w:rPr>
        <w:t>3.3 无机结合料</w:t>
      </w:r>
    </w:p>
    <w:p w14:paraId="25B3D792">
      <w:pPr>
        <w:pStyle w:val="5"/>
        <w:spacing w:before="182" w:line="360" w:lineRule="auto"/>
        <w:ind w:left="121" w:right="115" w:firstLine="427"/>
        <w:rPr>
          <w:color w:val="auto"/>
          <w:sz w:val="21"/>
          <w:szCs w:val="28"/>
          <w:highlight w:val="none"/>
        </w:rPr>
      </w:pPr>
      <w:r>
        <w:rPr>
          <w:color w:val="auto"/>
          <w:spacing w:val="-2"/>
          <w:sz w:val="21"/>
          <w:szCs w:val="28"/>
          <w:highlight w:val="none"/>
        </w:rPr>
        <w:t>无机结合料是由水泥、石灰、粉煤灰及其他工业废渣单一或混合组成的，能改善基土工程性能的材料。</w:t>
      </w:r>
    </w:p>
    <w:p w14:paraId="46206506">
      <w:pPr>
        <w:pStyle w:val="5"/>
        <w:spacing w:before="0" w:line="219" w:lineRule="auto"/>
        <w:ind w:left="564"/>
        <w:rPr>
          <w:color w:val="auto"/>
          <w:sz w:val="21"/>
          <w:szCs w:val="28"/>
          <w:highlight w:val="none"/>
        </w:rPr>
      </w:pPr>
      <w:r>
        <w:rPr>
          <w:b/>
          <w:bCs/>
          <w:color w:val="auto"/>
          <w:spacing w:val="1"/>
          <w:sz w:val="21"/>
          <w:szCs w:val="28"/>
          <w:highlight w:val="none"/>
        </w:rPr>
        <w:t>1</w:t>
      </w:r>
      <w:r>
        <w:rPr>
          <w:color w:val="auto"/>
          <w:spacing w:val="1"/>
          <w:sz w:val="21"/>
          <w:szCs w:val="28"/>
          <w:highlight w:val="none"/>
        </w:rPr>
        <w:t>）水泥应符合国家标准规定，采用硅酸盐水泥或普通硅酸盐水泥，强度等级不应低于</w:t>
      </w:r>
      <w:r>
        <w:rPr>
          <w:b/>
          <w:bCs/>
          <w:color w:val="auto"/>
          <w:spacing w:val="-6"/>
          <w:sz w:val="21"/>
          <w:szCs w:val="28"/>
          <w:highlight w:val="none"/>
        </w:rPr>
        <w:t>42.5</w:t>
      </w:r>
      <w:r>
        <w:rPr>
          <w:color w:val="auto"/>
          <w:spacing w:val="-44"/>
          <w:sz w:val="21"/>
          <w:szCs w:val="28"/>
          <w:highlight w:val="none"/>
        </w:rPr>
        <w:t xml:space="preserve"> </w:t>
      </w:r>
      <w:r>
        <w:rPr>
          <w:color w:val="auto"/>
          <w:spacing w:val="-6"/>
          <w:sz w:val="21"/>
          <w:szCs w:val="28"/>
          <w:highlight w:val="none"/>
        </w:rPr>
        <w:t>级；</w:t>
      </w:r>
    </w:p>
    <w:p w14:paraId="161D0AB2">
      <w:pPr>
        <w:pStyle w:val="5"/>
        <w:spacing w:before="178" w:line="290" w:lineRule="auto"/>
        <w:ind w:left="126" w:right="112" w:firstLine="422"/>
        <w:rPr>
          <w:color w:val="auto"/>
          <w:spacing w:val="1"/>
          <w:sz w:val="21"/>
          <w:szCs w:val="28"/>
          <w:highlight w:val="none"/>
        </w:rPr>
      </w:pPr>
      <w:r>
        <w:rPr>
          <w:b/>
          <w:bCs/>
          <w:color w:val="auto"/>
          <w:spacing w:val="-9"/>
          <w:sz w:val="21"/>
          <w:szCs w:val="28"/>
          <w:highlight w:val="none"/>
        </w:rPr>
        <w:t>2</w:t>
      </w:r>
      <w:r>
        <w:rPr>
          <w:color w:val="auto"/>
          <w:spacing w:val="-9"/>
          <w:sz w:val="21"/>
          <w:szCs w:val="28"/>
          <w:highlight w:val="none"/>
        </w:rPr>
        <w:t>）</w:t>
      </w:r>
      <w:r>
        <w:rPr>
          <w:color w:val="auto"/>
          <w:spacing w:val="1"/>
          <w:sz w:val="21"/>
          <w:szCs w:val="28"/>
          <w:highlight w:val="none"/>
        </w:rPr>
        <w:t xml:space="preserve">石灰宜采用 </w:t>
      </w:r>
      <w:r>
        <w:rPr>
          <w:b w:val="0"/>
          <w:bCs w:val="0"/>
          <w:color w:val="auto"/>
          <w:spacing w:val="1"/>
          <w:sz w:val="21"/>
          <w:szCs w:val="28"/>
          <w:highlight w:val="none"/>
        </w:rPr>
        <w:t>I</w:t>
      </w:r>
      <w:r>
        <w:rPr>
          <w:color w:val="auto"/>
          <w:spacing w:val="1"/>
          <w:sz w:val="21"/>
          <w:szCs w:val="28"/>
          <w:highlight w:val="none"/>
        </w:rPr>
        <w:t xml:space="preserve"> 级</w:t>
      </w:r>
      <w:r>
        <w:rPr>
          <w:b w:val="0"/>
          <w:bCs w:val="0"/>
          <w:color w:val="auto"/>
          <w:spacing w:val="1"/>
          <w:sz w:val="21"/>
          <w:szCs w:val="28"/>
          <w:highlight w:val="none"/>
        </w:rPr>
        <w:t>~III</w:t>
      </w:r>
      <w:r>
        <w:rPr>
          <w:color w:val="auto"/>
          <w:spacing w:val="1"/>
          <w:sz w:val="21"/>
          <w:szCs w:val="28"/>
          <w:highlight w:val="none"/>
        </w:rPr>
        <w:t xml:space="preserve"> 级的新灰，技术指标应满足“有效氧化钙加氧化镁含量”、“未消化残渣含量 ”、“钙镁石灰的分类界限，氧化镁含量”等要求；</w:t>
      </w:r>
    </w:p>
    <w:p w14:paraId="56987FD2">
      <w:pPr>
        <w:pStyle w:val="5"/>
        <w:spacing w:before="183" w:line="290" w:lineRule="auto"/>
        <w:ind w:left="103" w:right="22" w:firstLine="448"/>
        <w:rPr>
          <w:color w:val="auto"/>
          <w:spacing w:val="1"/>
          <w:sz w:val="21"/>
          <w:szCs w:val="28"/>
          <w:highlight w:val="none"/>
        </w:rPr>
      </w:pPr>
      <w:r>
        <w:rPr>
          <w:b/>
          <w:bCs/>
          <w:color w:val="auto"/>
          <w:spacing w:val="-10"/>
          <w:sz w:val="21"/>
          <w:szCs w:val="28"/>
          <w:highlight w:val="none"/>
        </w:rPr>
        <w:t>3</w:t>
      </w:r>
      <w:r>
        <w:rPr>
          <w:color w:val="auto"/>
          <w:spacing w:val="-10"/>
          <w:sz w:val="21"/>
          <w:szCs w:val="28"/>
          <w:highlight w:val="none"/>
        </w:rPr>
        <w:t>）</w:t>
      </w:r>
      <w:r>
        <w:rPr>
          <w:color w:val="auto"/>
          <w:spacing w:val="1"/>
          <w:sz w:val="21"/>
          <w:szCs w:val="28"/>
          <w:highlight w:val="none"/>
        </w:rPr>
        <w:t>复合无机结合料应满足重金属允许含量标准，其物理性质需满足“外观”、“细度 ”、“含水率”等指标要求。</w:t>
      </w:r>
    </w:p>
    <w:p w14:paraId="0197A725">
      <w:pPr>
        <w:pStyle w:val="5"/>
        <w:spacing w:before="181" w:line="220" w:lineRule="auto"/>
        <w:ind w:left="2948"/>
        <w:outlineLvl w:val="2"/>
        <w:rPr>
          <w:color w:val="auto"/>
          <w:sz w:val="21"/>
          <w:szCs w:val="28"/>
          <w:highlight w:val="none"/>
        </w:rPr>
      </w:pPr>
      <w:r>
        <w:rPr>
          <w:color w:val="auto"/>
          <w:spacing w:val="-1"/>
          <w:sz w:val="21"/>
          <w:szCs w:val="28"/>
          <w:highlight w:val="none"/>
        </w:rPr>
        <w:t>表三：无机结合料主要技术指标要求</w:t>
      </w:r>
    </w:p>
    <w:p w14:paraId="142A7EB6">
      <w:pPr>
        <w:spacing w:line="69" w:lineRule="exact"/>
        <w:rPr>
          <w:color w:val="auto"/>
          <w:highlight w:val="none"/>
        </w:rPr>
      </w:pPr>
    </w:p>
    <w:tbl>
      <w:tblPr>
        <w:tblStyle w:val="11"/>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0"/>
        <w:gridCol w:w="5174"/>
        <w:gridCol w:w="1494"/>
        <w:gridCol w:w="1749"/>
      </w:tblGrid>
      <w:tr w14:paraId="6F84C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300" w:type="dxa"/>
            <w:vAlign w:val="top"/>
          </w:tcPr>
          <w:p w14:paraId="525628A7">
            <w:pPr>
              <w:pStyle w:val="22"/>
              <w:spacing w:before="194" w:line="207" w:lineRule="auto"/>
              <w:ind w:left="193"/>
              <w:rPr>
                <w:color w:val="auto"/>
                <w:highlight w:val="none"/>
              </w:rPr>
            </w:pPr>
            <w:r>
              <w:rPr>
                <w:color w:val="auto"/>
                <w:spacing w:val="-2"/>
                <w:highlight w:val="none"/>
              </w:rPr>
              <w:t>检测项目</w:t>
            </w:r>
          </w:p>
        </w:tc>
        <w:tc>
          <w:tcPr>
            <w:tcW w:w="5174" w:type="dxa"/>
            <w:vAlign w:val="top"/>
          </w:tcPr>
          <w:p w14:paraId="50940297">
            <w:pPr>
              <w:pStyle w:val="22"/>
              <w:spacing w:before="194" w:line="207" w:lineRule="auto"/>
              <w:ind w:left="2112"/>
              <w:rPr>
                <w:color w:val="auto"/>
                <w:highlight w:val="none"/>
              </w:rPr>
            </w:pPr>
            <w:r>
              <w:rPr>
                <w:color w:val="auto"/>
                <w:spacing w:val="-2"/>
                <w:highlight w:val="none"/>
              </w:rPr>
              <w:t>性能指标</w:t>
            </w:r>
          </w:p>
        </w:tc>
        <w:tc>
          <w:tcPr>
            <w:tcW w:w="1494" w:type="dxa"/>
            <w:vAlign w:val="top"/>
          </w:tcPr>
          <w:p w14:paraId="464617CE">
            <w:pPr>
              <w:pStyle w:val="22"/>
              <w:spacing w:before="194" w:line="207" w:lineRule="auto"/>
              <w:ind w:left="274"/>
              <w:rPr>
                <w:color w:val="auto"/>
                <w:highlight w:val="none"/>
              </w:rPr>
            </w:pPr>
            <w:r>
              <w:rPr>
                <w:color w:val="auto"/>
                <w:spacing w:val="-3"/>
                <w:highlight w:val="none"/>
              </w:rPr>
              <w:t>检测频次</w:t>
            </w:r>
          </w:p>
        </w:tc>
        <w:tc>
          <w:tcPr>
            <w:tcW w:w="1749" w:type="dxa"/>
            <w:vAlign w:val="top"/>
          </w:tcPr>
          <w:p w14:paraId="0C1CA3AB">
            <w:pPr>
              <w:pStyle w:val="22"/>
              <w:spacing w:before="194" w:line="207" w:lineRule="auto"/>
              <w:ind w:left="400"/>
              <w:rPr>
                <w:color w:val="auto"/>
                <w:highlight w:val="none"/>
              </w:rPr>
            </w:pPr>
            <w:r>
              <w:rPr>
                <w:color w:val="auto"/>
                <w:spacing w:val="-2"/>
                <w:highlight w:val="none"/>
              </w:rPr>
              <w:t>检测方法</w:t>
            </w:r>
          </w:p>
        </w:tc>
      </w:tr>
      <w:tr w14:paraId="09B48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00" w:type="dxa"/>
            <w:vAlign w:val="center"/>
          </w:tcPr>
          <w:p w14:paraId="09861C01">
            <w:pPr>
              <w:pStyle w:val="22"/>
              <w:spacing w:before="0" w:line="400" w:lineRule="exact"/>
              <w:ind w:left="0"/>
              <w:jc w:val="center"/>
              <w:rPr>
                <w:color w:val="auto"/>
                <w:highlight w:val="none"/>
              </w:rPr>
            </w:pPr>
            <w:r>
              <w:rPr>
                <w:color w:val="auto"/>
                <w:spacing w:val="-4"/>
                <w:highlight w:val="none"/>
              </w:rPr>
              <w:t>水泥</w:t>
            </w:r>
          </w:p>
        </w:tc>
        <w:tc>
          <w:tcPr>
            <w:tcW w:w="5174" w:type="dxa"/>
            <w:vAlign w:val="center"/>
          </w:tcPr>
          <w:p w14:paraId="2E405003">
            <w:pPr>
              <w:pStyle w:val="22"/>
              <w:spacing w:before="0" w:line="400" w:lineRule="exact"/>
              <w:ind w:left="0"/>
              <w:jc w:val="center"/>
              <w:rPr>
                <w:color w:val="auto"/>
                <w:highlight w:val="none"/>
              </w:rPr>
            </w:pPr>
            <w:r>
              <w:rPr>
                <w:color w:val="auto"/>
                <w:spacing w:val="3"/>
                <w:highlight w:val="none"/>
              </w:rPr>
              <w:t>强度不低于</w:t>
            </w:r>
            <w:r>
              <w:rPr>
                <w:b/>
                <w:bCs/>
                <w:color w:val="auto"/>
                <w:spacing w:val="3"/>
                <w:highlight w:val="none"/>
              </w:rPr>
              <w:t>42.5</w:t>
            </w:r>
            <w:r>
              <w:rPr>
                <w:color w:val="auto"/>
                <w:spacing w:val="-43"/>
                <w:highlight w:val="none"/>
              </w:rPr>
              <w:t xml:space="preserve"> </w:t>
            </w:r>
            <w:r>
              <w:rPr>
                <w:color w:val="auto"/>
                <w:spacing w:val="3"/>
                <w:highlight w:val="none"/>
              </w:rPr>
              <w:t>级</w:t>
            </w:r>
          </w:p>
        </w:tc>
        <w:tc>
          <w:tcPr>
            <w:tcW w:w="1494" w:type="dxa"/>
            <w:vAlign w:val="center"/>
          </w:tcPr>
          <w:p w14:paraId="58203E29">
            <w:pPr>
              <w:pStyle w:val="22"/>
              <w:spacing w:before="0" w:line="400" w:lineRule="exact"/>
              <w:ind w:left="0"/>
              <w:jc w:val="center"/>
              <w:rPr>
                <w:color w:val="auto"/>
                <w:highlight w:val="none"/>
              </w:rPr>
            </w:pPr>
            <w:r>
              <w:rPr>
                <w:color w:val="auto"/>
                <w:spacing w:val="-2"/>
                <w:highlight w:val="none"/>
              </w:rPr>
              <w:t>袋装水泥不</w:t>
            </w:r>
            <w:r>
              <w:rPr>
                <w:rFonts w:hint="eastAsia"/>
                <w:color w:val="auto"/>
                <w:spacing w:val="-2"/>
                <w:highlight w:val="none"/>
              </w:rPr>
              <w:t>超过 500t 为一个检验批</w:t>
            </w:r>
          </w:p>
        </w:tc>
        <w:tc>
          <w:tcPr>
            <w:tcW w:w="1749" w:type="dxa"/>
            <w:vAlign w:val="center"/>
          </w:tcPr>
          <w:p w14:paraId="1CF0396A">
            <w:pPr>
              <w:pStyle w:val="22"/>
              <w:spacing w:before="0" w:line="400" w:lineRule="exact"/>
              <w:ind w:left="0"/>
              <w:jc w:val="center"/>
              <w:rPr>
                <w:color w:val="auto"/>
                <w:highlight w:val="none"/>
              </w:rPr>
            </w:pPr>
            <w:r>
              <w:rPr>
                <w:color w:val="auto"/>
                <w:spacing w:val="-2"/>
                <w:highlight w:val="none"/>
              </w:rPr>
              <w:t>《通用硅酸盐</w:t>
            </w:r>
            <w:r>
              <w:rPr>
                <w:rFonts w:hint="eastAsia"/>
                <w:color w:val="auto"/>
                <w:spacing w:val="-2"/>
                <w:highlight w:val="none"/>
              </w:rPr>
              <w:t>水泥》GB175</w:t>
            </w:r>
          </w:p>
        </w:tc>
      </w:tr>
    </w:tbl>
    <w:p w14:paraId="0D8718C2">
      <w:pPr>
        <w:spacing w:line="106" w:lineRule="auto"/>
        <w:rPr>
          <w:rFonts w:ascii="Arial"/>
          <w:color w:val="auto"/>
          <w:sz w:val="2"/>
          <w:highlight w:val="none"/>
        </w:rPr>
      </w:pPr>
    </w:p>
    <w:tbl>
      <w:tblPr>
        <w:tblStyle w:val="11"/>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0"/>
        <w:gridCol w:w="5174"/>
        <w:gridCol w:w="1494"/>
        <w:gridCol w:w="1749"/>
      </w:tblGrid>
      <w:tr w14:paraId="3B904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1300" w:type="dxa"/>
            <w:vAlign w:val="top"/>
          </w:tcPr>
          <w:p w14:paraId="2E0B3B32">
            <w:pPr>
              <w:spacing w:line="288" w:lineRule="auto"/>
              <w:rPr>
                <w:rFonts w:ascii="Arial"/>
                <w:color w:val="auto"/>
                <w:sz w:val="21"/>
                <w:highlight w:val="none"/>
              </w:rPr>
            </w:pPr>
          </w:p>
          <w:p w14:paraId="60BA56A5">
            <w:pPr>
              <w:spacing w:line="288" w:lineRule="auto"/>
              <w:rPr>
                <w:rFonts w:ascii="Arial"/>
                <w:color w:val="auto"/>
                <w:sz w:val="21"/>
                <w:highlight w:val="none"/>
              </w:rPr>
            </w:pPr>
          </w:p>
          <w:p w14:paraId="3FBC4CAB">
            <w:pPr>
              <w:pStyle w:val="22"/>
              <w:spacing w:before="78" w:line="220" w:lineRule="auto"/>
              <w:ind w:left="434"/>
              <w:rPr>
                <w:color w:val="auto"/>
                <w:highlight w:val="none"/>
              </w:rPr>
            </w:pPr>
            <w:r>
              <w:rPr>
                <w:color w:val="auto"/>
                <w:spacing w:val="-6"/>
                <w:highlight w:val="none"/>
              </w:rPr>
              <w:t>石灰</w:t>
            </w:r>
          </w:p>
        </w:tc>
        <w:tc>
          <w:tcPr>
            <w:tcW w:w="5174" w:type="dxa"/>
            <w:vAlign w:val="top"/>
          </w:tcPr>
          <w:p w14:paraId="440F6F5F">
            <w:pPr>
              <w:spacing w:line="288" w:lineRule="auto"/>
              <w:rPr>
                <w:rFonts w:ascii="Arial"/>
                <w:color w:val="auto"/>
                <w:sz w:val="21"/>
                <w:highlight w:val="none"/>
              </w:rPr>
            </w:pPr>
          </w:p>
          <w:p w14:paraId="0F5500F7">
            <w:pPr>
              <w:spacing w:line="288" w:lineRule="auto"/>
              <w:rPr>
                <w:rFonts w:ascii="Arial"/>
                <w:color w:val="auto"/>
                <w:sz w:val="21"/>
                <w:highlight w:val="none"/>
              </w:rPr>
            </w:pPr>
          </w:p>
          <w:p w14:paraId="32161516">
            <w:pPr>
              <w:pStyle w:val="22"/>
              <w:spacing w:before="78" w:line="220" w:lineRule="auto"/>
              <w:ind w:left="195"/>
              <w:rPr>
                <w:color w:val="auto"/>
                <w:highlight w:val="none"/>
              </w:rPr>
            </w:pPr>
            <w:r>
              <w:rPr>
                <w:color w:val="auto"/>
                <w:spacing w:val="-2"/>
                <w:highlight w:val="none"/>
              </w:rPr>
              <w:t>详见《工程渣土再生填料道路路基技术规程》</w:t>
            </w:r>
          </w:p>
        </w:tc>
        <w:tc>
          <w:tcPr>
            <w:tcW w:w="1494" w:type="dxa"/>
            <w:vAlign w:val="top"/>
          </w:tcPr>
          <w:p w14:paraId="5ABC4071">
            <w:pPr>
              <w:spacing w:line="421" w:lineRule="auto"/>
              <w:rPr>
                <w:rFonts w:ascii="Arial"/>
                <w:color w:val="auto"/>
                <w:sz w:val="21"/>
                <w:highlight w:val="none"/>
              </w:rPr>
            </w:pPr>
          </w:p>
          <w:p w14:paraId="17B61826">
            <w:pPr>
              <w:pStyle w:val="22"/>
              <w:spacing w:before="78" w:line="242" w:lineRule="auto"/>
              <w:ind w:left="154" w:right="144"/>
              <w:rPr>
                <w:color w:val="auto"/>
                <w:highlight w:val="none"/>
              </w:rPr>
            </w:pPr>
            <w:r>
              <w:rPr>
                <w:color w:val="auto"/>
                <w:spacing w:val="-2"/>
                <w:highlight w:val="none"/>
              </w:rPr>
              <w:t>相同批次至</w:t>
            </w:r>
            <w:r>
              <w:rPr>
                <w:color w:val="auto"/>
                <w:spacing w:val="-12"/>
                <w:highlight w:val="none"/>
              </w:rPr>
              <w:t>少检验</w:t>
            </w:r>
            <w:r>
              <w:rPr>
                <w:color w:val="auto"/>
                <w:spacing w:val="-30"/>
                <w:highlight w:val="none"/>
              </w:rPr>
              <w:t xml:space="preserve"> </w:t>
            </w:r>
            <w:r>
              <w:rPr>
                <w:b/>
                <w:bCs/>
                <w:color w:val="auto"/>
                <w:spacing w:val="-12"/>
                <w:highlight w:val="none"/>
              </w:rPr>
              <w:t>1</w:t>
            </w:r>
            <w:r>
              <w:rPr>
                <w:color w:val="auto"/>
                <w:spacing w:val="-44"/>
                <w:highlight w:val="none"/>
              </w:rPr>
              <w:t xml:space="preserve"> </w:t>
            </w:r>
            <w:r>
              <w:rPr>
                <w:color w:val="auto"/>
                <w:spacing w:val="-12"/>
                <w:highlight w:val="none"/>
              </w:rPr>
              <w:t>次</w:t>
            </w:r>
          </w:p>
        </w:tc>
        <w:tc>
          <w:tcPr>
            <w:tcW w:w="1749" w:type="dxa"/>
            <w:vAlign w:val="top"/>
          </w:tcPr>
          <w:p w14:paraId="131B33B2">
            <w:pPr>
              <w:pStyle w:val="22"/>
              <w:spacing w:before="228" w:line="360" w:lineRule="auto"/>
              <w:ind w:left="111" w:right="24" w:firstLine="1"/>
              <w:rPr>
                <w:color w:val="auto"/>
                <w:highlight w:val="none"/>
              </w:rPr>
            </w:pPr>
            <w:r>
              <w:rPr>
                <w:b/>
                <w:bCs/>
                <w:color w:val="auto"/>
                <w:spacing w:val="-9"/>
                <w:highlight w:val="none"/>
              </w:rPr>
              <w:t>JTGE5</w:t>
            </w:r>
            <w:r>
              <w:rPr>
                <w:color w:val="auto"/>
                <w:spacing w:val="-9"/>
                <w:highlight w:val="none"/>
              </w:rPr>
              <w:t>、</w:t>
            </w:r>
            <w:r>
              <w:rPr>
                <w:b/>
                <w:bCs/>
                <w:color w:val="auto"/>
                <w:spacing w:val="-9"/>
                <w:highlight w:val="none"/>
              </w:rPr>
              <w:t>T0813</w:t>
            </w:r>
            <w:r>
              <w:rPr>
                <w:color w:val="auto"/>
                <w:spacing w:val="-9"/>
                <w:highlight w:val="none"/>
              </w:rPr>
              <w:t>、</w:t>
            </w:r>
            <w:r>
              <w:rPr>
                <w:color w:val="auto"/>
                <w:spacing w:val="7"/>
                <w:highlight w:val="none"/>
              </w:rPr>
              <w:t xml:space="preserve"> </w:t>
            </w:r>
            <w:r>
              <w:rPr>
                <w:b/>
                <w:bCs/>
                <w:color w:val="auto"/>
                <w:spacing w:val="-9"/>
                <w:highlight w:val="none"/>
              </w:rPr>
              <w:t>T0815</w:t>
            </w:r>
            <w:r>
              <w:rPr>
                <w:color w:val="auto"/>
                <w:spacing w:val="-9"/>
                <w:highlight w:val="none"/>
              </w:rPr>
              <w:t>、</w:t>
            </w:r>
            <w:r>
              <w:rPr>
                <w:b/>
                <w:bCs/>
                <w:color w:val="auto"/>
                <w:spacing w:val="-9"/>
                <w:highlight w:val="none"/>
              </w:rPr>
              <w:t>T0812</w:t>
            </w:r>
            <w:r>
              <w:rPr>
                <w:color w:val="auto"/>
                <w:spacing w:val="-9"/>
                <w:highlight w:val="none"/>
              </w:rPr>
              <w:t>、</w:t>
            </w:r>
          </w:p>
          <w:p w14:paraId="506751D0">
            <w:pPr>
              <w:pStyle w:val="22"/>
              <w:spacing w:line="178" w:lineRule="auto"/>
              <w:ind w:left="157"/>
              <w:rPr>
                <w:color w:val="auto"/>
                <w:highlight w:val="none"/>
              </w:rPr>
            </w:pPr>
            <w:r>
              <w:rPr>
                <w:b/>
                <w:bCs/>
                <w:color w:val="auto"/>
                <w:spacing w:val="-3"/>
                <w:highlight w:val="none"/>
              </w:rPr>
              <w:t>T0814</w:t>
            </w:r>
            <w:r>
              <w:rPr>
                <w:color w:val="auto"/>
                <w:spacing w:val="-3"/>
                <w:highlight w:val="none"/>
              </w:rPr>
              <w:t>、</w:t>
            </w:r>
            <w:r>
              <w:rPr>
                <w:b/>
                <w:bCs/>
                <w:color w:val="auto"/>
                <w:spacing w:val="-3"/>
                <w:highlight w:val="none"/>
              </w:rPr>
              <w:t>T0801</w:t>
            </w:r>
          </w:p>
        </w:tc>
      </w:tr>
      <w:tr w14:paraId="7BF2D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1300" w:type="dxa"/>
            <w:vAlign w:val="top"/>
          </w:tcPr>
          <w:p w14:paraId="06188AC4">
            <w:pPr>
              <w:spacing w:line="289" w:lineRule="auto"/>
              <w:rPr>
                <w:rFonts w:ascii="Arial"/>
                <w:color w:val="auto"/>
                <w:sz w:val="21"/>
                <w:highlight w:val="none"/>
              </w:rPr>
            </w:pPr>
          </w:p>
          <w:p w14:paraId="7F16478B">
            <w:pPr>
              <w:spacing w:line="289" w:lineRule="auto"/>
              <w:rPr>
                <w:rFonts w:ascii="Arial"/>
                <w:color w:val="auto"/>
                <w:sz w:val="21"/>
                <w:highlight w:val="none"/>
              </w:rPr>
            </w:pPr>
          </w:p>
          <w:p w14:paraId="3F385CD5">
            <w:pPr>
              <w:pStyle w:val="22"/>
              <w:spacing w:before="78" w:line="220" w:lineRule="auto"/>
              <w:ind w:left="312"/>
              <w:rPr>
                <w:color w:val="auto"/>
                <w:highlight w:val="none"/>
              </w:rPr>
            </w:pPr>
            <w:r>
              <w:rPr>
                <w:color w:val="auto"/>
                <w:spacing w:val="-2"/>
                <w:highlight w:val="none"/>
              </w:rPr>
              <w:t>粉煤灰</w:t>
            </w:r>
          </w:p>
        </w:tc>
        <w:tc>
          <w:tcPr>
            <w:tcW w:w="5174" w:type="dxa"/>
            <w:vAlign w:val="top"/>
          </w:tcPr>
          <w:p w14:paraId="26031B9B">
            <w:pPr>
              <w:spacing w:line="289" w:lineRule="auto"/>
              <w:rPr>
                <w:rFonts w:ascii="Arial"/>
                <w:color w:val="auto"/>
                <w:sz w:val="21"/>
                <w:highlight w:val="none"/>
              </w:rPr>
            </w:pPr>
          </w:p>
          <w:p w14:paraId="1F3773FD">
            <w:pPr>
              <w:spacing w:line="289" w:lineRule="auto"/>
              <w:rPr>
                <w:rFonts w:ascii="Arial"/>
                <w:color w:val="auto"/>
                <w:sz w:val="21"/>
                <w:highlight w:val="none"/>
              </w:rPr>
            </w:pPr>
          </w:p>
          <w:p w14:paraId="0A19A88F">
            <w:pPr>
              <w:pStyle w:val="22"/>
              <w:spacing w:before="78" w:line="220" w:lineRule="auto"/>
              <w:ind w:left="195"/>
              <w:rPr>
                <w:color w:val="auto"/>
                <w:highlight w:val="none"/>
              </w:rPr>
            </w:pPr>
            <w:r>
              <w:rPr>
                <w:color w:val="auto"/>
                <w:spacing w:val="-2"/>
                <w:highlight w:val="none"/>
              </w:rPr>
              <w:t>详见《工程渣土再生填料道路路基技术规程》</w:t>
            </w:r>
          </w:p>
        </w:tc>
        <w:tc>
          <w:tcPr>
            <w:tcW w:w="1494" w:type="dxa"/>
            <w:vAlign w:val="top"/>
          </w:tcPr>
          <w:p w14:paraId="6451A9B0">
            <w:pPr>
              <w:spacing w:line="423" w:lineRule="auto"/>
              <w:rPr>
                <w:rFonts w:ascii="Arial"/>
                <w:color w:val="auto"/>
                <w:sz w:val="21"/>
                <w:highlight w:val="none"/>
              </w:rPr>
            </w:pPr>
          </w:p>
          <w:p w14:paraId="70B4A303">
            <w:pPr>
              <w:pStyle w:val="22"/>
              <w:spacing w:before="78" w:line="242" w:lineRule="auto"/>
              <w:ind w:left="154" w:right="144"/>
              <w:rPr>
                <w:color w:val="auto"/>
                <w:highlight w:val="none"/>
              </w:rPr>
            </w:pPr>
            <w:r>
              <w:rPr>
                <w:color w:val="auto"/>
                <w:spacing w:val="-2"/>
                <w:highlight w:val="none"/>
              </w:rPr>
              <w:t>相同批次至</w:t>
            </w:r>
            <w:r>
              <w:rPr>
                <w:color w:val="auto"/>
                <w:spacing w:val="-12"/>
                <w:highlight w:val="none"/>
              </w:rPr>
              <w:t>少检验</w:t>
            </w:r>
            <w:r>
              <w:rPr>
                <w:color w:val="auto"/>
                <w:spacing w:val="-30"/>
                <w:highlight w:val="none"/>
              </w:rPr>
              <w:t xml:space="preserve"> </w:t>
            </w:r>
            <w:r>
              <w:rPr>
                <w:b/>
                <w:bCs/>
                <w:color w:val="auto"/>
                <w:spacing w:val="-12"/>
                <w:highlight w:val="none"/>
              </w:rPr>
              <w:t>1</w:t>
            </w:r>
            <w:r>
              <w:rPr>
                <w:color w:val="auto"/>
                <w:spacing w:val="-44"/>
                <w:highlight w:val="none"/>
              </w:rPr>
              <w:t xml:space="preserve"> </w:t>
            </w:r>
            <w:r>
              <w:rPr>
                <w:color w:val="auto"/>
                <w:spacing w:val="-12"/>
                <w:highlight w:val="none"/>
              </w:rPr>
              <w:t>次</w:t>
            </w:r>
          </w:p>
        </w:tc>
        <w:tc>
          <w:tcPr>
            <w:tcW w:w="1749" w:type="dxa"/>
            <w:vAlign w:val="top"/>
          </w:tcPr>
          <w:p w14:paraId="2817FF4F">
            <w:pPr>
              <w:pStyle w:val="22"/>
              <w:spacing w:before="230" w:line="360" w:lineRule="auto"/>
              <w:ind w:left="156" w:right="109" w:hanging="43"/>
              <w:rPr>
                <w:color w:val="auto"/>
                <w:highlight w:val="none"/>
              </w:rPr>
            </w:pPr>
            <w:r>
              <w:rPr>
                <w:b/>
                <w:bCs/>
                <w:color w:val="auto"/>
                <w:spacing w:val="-6"/>
                <w:highlight w:val="none"/>
              </w:rPr>
              <w:t>JTGE51</w:t>
            </w:r>
            <w:r>
              <w:rPr>
                <w:color w:val="auto"/>
                <w:spacing w:val="-6"/>
                <w:highlight w:val="none"/>
              </w:rPr>
              <w:t>、</w:t>
            </w:r>
            <w:r>
              <w:rPr>
                <w:b/>
                <w:bCs/>
                <w:color w:val="auto"/>
                <w:spacing w:val="-6"/>
                <w:highlight w:val="none"/>
              </w:rPr>
              <w:t>T0816</w:t>
            </w:r>
            <w:r>
              <w:rPr>
                <w:color w:val="auto"/>
                <w:spacing w:val="3"/>
                <w:highlight w:val="none"/>
              </w:rPr>
              <w:t xml:space="preserve"> </w:t>
            </w:r>
            <w:r>
              <w:rPr>
                <w:b/>
                <w:bCs/>
                <w:color w:val="auto"/>
                <w:spacing w:val="-3"/>
                <w:highlight w:val="none"/>
              </w:rPr>
              <w:t>T0817</w:t>
            </w:r>
            <w:r>
              <w:rPr>
                <w:color w:val="auto"/>
                <w:spacing w:val="-3"/>
                <w:highlight w:val="none"/>
              </w:rPr>
              <w:t>、</w:t>
            </w:r>
            <w:r>
              <w:rPr>
                <w:b/>
                <w:bCs/>
                <w:color w:val="auto"/>
                <w:spacing w:val="-3"/>
                <w:highlight w:val="none"/>
              </w:rPr>
              <w:t>T0820</w:t>
            </w:r>
          </w:p>
          <w:p w14:paraId="20F2E3E1">
            <w:pPr>
              <w:pStyle w:val="22"/>
              <w:spacing w:line="177" w:lineRule="auto"/>
              <w:ind w:left="157"/>
              <w:rPr>
                <w:color w:val="auto"/>
                <w:highlight w:val="none"/>
              </w:rPr>
            </w:pPr>
            <w:r>
              <w:rPr>
                <w:b/>
                <w:bCs/>
                <w:color w:val="auto"/>
                <w:spacing w:val="-3"/>
                <w:highlight w:val="none"/>
              </w:rPr>
              <w:t>T0818</w:t>
            </w:r>
            <w:r>
              <w:rPr>
                <w:color w:val="auto"/>
                <w:spacing w:val="-3"/>
                <w:highlight w:val="none"/>
              </w:rPr>
              <w:t>、</w:t>
            </w:r>
            <w:r>
              <w:rPr>
                <w:b/>
                <w:bCs/>
                <w:color w:val="auto"/>
                <w:spacing w:val="-3"/>
                <w:highlight w:val="none"/>
              </w:rPr>
              <w:t>T0801</w:t>
            </w:r>
          </w:p>
        </w:tc>
      </w:tr>
      <w:tr w14:paraId="69341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8" w:hRule="atLeast"/>
        </w:trPr>
        <w:tc>
          <w:tcPr>
            <w:tcW w:w="1300" w:type="dxa"/>
            <w:vAlign w:val="top"/>
          </w:tcPr>
          <w:p w14:paraId="6C542F88">
            <w:pPr>
              <w:spacing w:line="290" w:lineRule="auto"/>
              <w:rPr>
                <w:rFonts w:ascii="Arial"/>
                <w:color w:val="auto"/>
                <w:sz w:val="21"/>
                <w:highlight w:val="none"/>
              </w:rPr>
            </w:pPr>
          </w:p>
          <w:p w14:paraId="7680B297">
            <w:pPr>
              <w:spacing w:line="291" w:lineRule="auto"/>
              <w:rPr>
                <w:rFonts w:ascii="Arial"/>
                <w:color w:val="auto"/>
                <w:sz w:val="21"/>
                <w:highlight w:val="none"/>
              </w:rPr>
            </w:pPr>
          </w:p>
          <w:p w14:paraId="04AE200A">
            <w:pPr>
              <w:pStyle w:val="22"/>
              <w:spacing w:before="78" w:line="242" w:lineRule="auto"/>
              <w:ind w:left="182" w:right="150" w:firstLine="17"/>
              <w:jc w:val="both"/>
              <w:rPr>
                <w:color w:val="auto"/>
                <w:highlight w:val="none"/>
              </w:rPr>
            </w:pPr>
            <w:r>
              <w:rPr>
                <w:color w:val="auto"/>
                <w:spacing w:val="-4"/>
                <w:highlight w:val="none"/>
              </w:rPr>
              <w:t>复合无机结合料物</w:t>
            </w:r>
            <w:r>
              <w:rPr>
                <w:color w:val="auto"/>
                <w:spacing w:val="34"/>
                <w:highlight w:val="none"/>
              </w:rPr>
              <w:t>理性能</w:t>
            </w:r>
          </w:p>
        </w:tc>
        <w:tc>
          <w:tcPr>
            <w:tcW w:w="5174" w:type="dxa"/>
            <w:vAlign w:val="top"/>
          </w:tcPr>
          <w:p w14:paraId="06CEDB21">
            <w:pPr>
              <w:spacing w:before="236" w:line="1721" w:lineRule="exact"/>
              <w:ind w:firstLine="103"/>
              <w:rPr>
                <w:color w:val="auto"/>
                <w:highlight w:val="none"/>
              </w:rPr>
            </w:pPr>
            <w:r>
              <w:rPr>
                <w:rFonts w:ascii="Calibri" w:hAnsi="Calibri" w:eastAsia="宋体" w:cs="黑体"/>
                <w:color w:val="auto"/>
                <w:kern w:val="2"/>
                <w:position w:val="-34"/>
                <w:sz w:val="21"/>
                <w:szCs w:val="22"/>
                <w:highlight w:val="none"/>
                <w:lang w:val="en-US" w:eastAsia="zh-CN" w:bidi="ar-SA"/>
              </w:rPr>
              <w:drawing>
                <wp:inline distT="0" distB="0" distL="114300" distR="114300">
                  <wp:extent cx="3149600" cy="1092200"/>
                  <wp:effectExtent l="0" t="0" r="12700" b="12700"/>
                  <wp:docPr id="2" name="图片框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框 1030"/>
                          <pic:cNvPicPr>
                            <a:picLocks noChangeAspect="1"/>
                          </pic:cNvPicPr>
                        </pic:nvPicPr>
                        <pic:blipFill>
                          <a:blip r:embed="rId13">
                            <a:lum/>
                          </a:blip>
                          <a:stretch>
                            <a:fillRect/>
                          </a:stretch>
                        </pic:blipFill>
                        <pic:spPr>
                          <a:xfrm>
                            <a:off x="0" y="0"/>
                            <a:ext cx="3149600" cy="1092200"/>
                          </a:xfrm>
                          <a:prstGeom prst="rect">
                            <a:avLst/>
                          </a:prstGeom>
                          <a:noFill/>
                          <a:ln>
                            <a:noFill/>
                          </a:ln>
                        </pic:spPr>
                      </pic:pic>
                    </a:graphicData>
                  </a:graphic>
                </wp:inline>
              </w:drawing>
            </w:r>
          </w:p>
        </w:tc>
        <w:tc>
          <w:tcPr>
            <w:tcW w:w="1494" w:type="dxa"/>
            <w:vAlign w:val="top"/>
          </w:tcPr>
          <w:p w14:paraId="6354D6CA">
            <w:pPr>
              <w:spacing w:line="427" w:lineRule="auto"/>
              <w:rPr>
                <w:rFonts w:ascii="Arial"/>
                <w:color w:val="auto"/>
                <w:sz w:val="21"/>
                <w:highlight w:val="none"/>
              </w:rPr>
            </w:pPr>
          </w:p>
          <w:p w14:paraId="1302F424">
            <w:pPr>
              <w:pStyle w:val="22"/>
              <w:spacing w:before="78" w:line="222" w:lineRule="auto"/>
              <w:ind w:left="274"/>
              <w:rPr>
                <w:color w:val="auto"/>
                <w:highlight w:val="none"/>
              </w:rPr>
            </w:pPr>
            <w:r>
              <w:rPr>
                <w:color w:val="auto"/>
                <w:spacing w:val="-2"/>
                <w:highlight w:val="none"/>
              </w:rPr>
              <w:t>相同配合</w:t>
            </w:r>
          </w:p>
          <w:p w14:paraId="20D824C4">
            <w:pPr>
              <w:pStyle w:val="22"/>
              <w:spacing w:before="23" w:line="222" w:lineRule="auto"/>
              <w:ind w:left="180"/>
              <w:rPr>
                <w:color w:val="auto"/>
                <w:highlight w:val="none"/>
              </w:rPr>
            </w:pPr>
            <w:r>
              <w:rPr>
                <w:color w:val="auto"/>
                <w:spacing w:val="-6"/>
                <w:highlight w:val="none"/>
              </w:rPr>
              <w:t>比、相同工</w:t>
            </w:r>
          </w:p>
          <w:p w14:paraId="49DBBB24">
            <w:pPr>
              <w:pStyle w:val="22"/>
              <w:spacing w:before="23" w:line="220" w:lineRule="auto"/>
              <w:ind w:left="160"/>
              <w:rPr>
                <w:color w:val="auto"/>
                <w:highlight w:val="none"/>
              </w:rPr>
            </w:pPr>
            <w:r>
              <w:rPr>
                <w:color w:val="auto"/>
                <w:spacing w:val="-3"/>
                <w:highlight w:val="none"/>
              </w:rPr>
              <w:t>艺、至少检</w:t>
            </w:r>
          </w:p>
          <w:p w14:paraId="31DF2BC6">
            <w:pPr>
              <w:pStyle w:val="22"/>
              <w:spacing w:before="25" w:line="220" w:lineRule="auto"/>
              <w:ind w:left="393"/>
              <w:rPr>
                <w:color w:val="auto"/>
                <w:highlight w:val="none"/>
              </w:rPr>
            </w:pPr>
            <w:r>
              <w:rPr>
                <w:color w:val="auto"/>
                <w:spacing w:val="-13"/>
                <w:highlight w:val="none"/>
              </w:rPr>
              <w:t>验</w:t>
            </w:r>
            <w:r>
              <w:rPr>
                <w:color w:val="auto"/>
                <w:spacing w:val="-33"/>
                <w:highlight w:val="none"/>
              </w:rPr>
              <w:t xml:space="preserve"> </w:t>
            </w:r>
            <w:r>
              <w:rPr>
                <w:b/>
                <w:bCs/>
                <w:color w:val="auto"/>
                <w:spacing w:val="-13"/>
                <w:highlight w:val="none"/>
              </w:rPr>
              <w:t>1</w:t>
            </w:r>
            <w:r>
              <w:rPr>
                <w:color w:val="auto"/>
                <w:spacing w:val="-45"/>
                <w:highlight w:val="none"/>
              </w:rPr>
              <w:t xml:space="preserve"> </w:t>
            </w:r>
            <w:r>
              <w:rPr>
                <w:color w:val="auto"/>
                <w:spacing w:val="-13"/>
                <w:highlight w:val="none"/>
              </w:rPr>
              <w:t>次</w:t>
            </w:r>
          </w:p>
        </w:tc>
        <w:tc>
          <w:tcPr>
            <w:tcW w:w="1749" w:type="dxa"/>
            <w:vAlign w:val="top"/>
          </w:tcPr>
          <w:p w14:paraId="369B4E2F">
            <w:pPr>
              <w:spacing w:line="425" w:lineRule="auto"/>
              <w:rPr>
                <w:rFonts w:ascii="Arial"/>
                <w:color w:val="auto"/>
                <w:sz w:val="21"/>
                <w:highlight w:val="none"/>
              </w:rPr>
            </w:pPr>
          </w:p>
          <w:p w14:paraId="564A197E">
            <w:pPr>
              <w:pStyle w:val="22"/>
              <w:spacing w:before="78" w:line="241" w:lineRule="auto"/>
              <w:ind w:left="115" w:right="109" w:firstLine="44"/>
              <w:jc w:val="both"/>
              <w:rPr>
                <w:color w:val="auto"/>
                <w:highlight w:val="none"/>
              </w:rPr>
            </w:pPr>
            <w:r>
              <w:rPr>
                <w:color w:val="auto"/>
                <w:spacing w:val="-32"/>
                <w:highlight w:val="none"/>
              </w:rPr>
              <w:t>目测、《公路工</w:t>
            </w:r>
            <w:r>
              <w:rPr>
                <w:color w:val="auto"/>
                <w:spacing w:val="5"/>
                <w:highlight w:val="none"/>
              </w:rPr>
              <w:t>程无机结合料稳定材料试验</w:t>
            </w:r>
            <w:r>
              <w:rPr>
                <w:color w:val="auto"/>
                <w:spacing w:val="-4"/>
                <w:highlight w:val="none"/>
              </w:rPr>
              <w:t>规程》</w:t>
            </w:r>
            <w:r>
              <w:rPr>
                <w:b/>
                <w:bCs/>
                <w:color w:val="auto"/>
                <w:spacing w:val="-4"/>
                <w:highlight w:val="none"/>
              </w:rPr>
              <w:t>JTG</w:t>
            </w:r>
            <w:r>
              <w:rPr>
                <w:color w:val="auto"/>
                <w:spacing w:val="-22"/>
                <w:highlight w:val="none"/>
              </w:rPr>
              <w:t xml:space="preserve"> </w:t>
            </w:r>
            <w:r>
              <w:rPr>
                <w:b/>
                <w:bCs/>
                <w:color w:val="auto"/>
                <w:spacing w:val="-4"/>
                <w:highlight w:val="none"/>
              </w:rPr>
              <w:t>E51</w:t>
            </w:r>
          </w:p>
        </w:tc>
      </w:tr>
    </w:tbl>
    <w:p w14:paraId="733F3D9A">
      <w:pPr>
        <w:pStyle w:val="5"/>
        <w:spacing w:before="51" w:line="276" w:lineRule="auto"/>
        <w:ind w:left="122" w:right="48" w:firstLine="418"/>
        <w:rPr>
          <w:color w:val="auto"/>
          <w:sz w:val="21"/>
          <w:szCs w:val="21"/>
          <w:highlight w:val="none"/>
        </w:rPr>
      </w:pPr>
      <w:r>
        <w:rPr>
          <w:color w:val="auto"/>
          <w:spacing w:val="-2"/>
          <w:sz w:val="21"/>
          <w:szCs w:val="21"/>
          <w:highlight w:val="none"/>
        </w:rPr>
        <w:t>注：上述表一、表二、表三检测内容由厂商提供自检</w:t>
      </w:r>
      <w:r>
        <w:rPr>
          <w:color w:val="auto"/>
          <w:spacing w:val="-3"/>
          <w:sz w:val="21"/>
          <w:szCs w:val="21"/>
          <w:highlight w:val="none"/>
        </w:rPr>
        <w:t>报告，表二、表三材料由厂商自行配比与选择，</w:t>
      </w:r>
      <w:r>
        <w:rPr>
          <w:color w:val="auto"/>
          <w:spacing w:val="-1"/>
          <w:sz w:val="21"/>
          <w:szCs w:val="21"/>
          <w:highlight w:val="none"/>
        </w:rPr>
        <w:t>涉及的相关材料应符合上述要求。</w:t>
      </w:r>
    </w:p>
    <w:p w14:paraId="4B2FC002">
      <w:pPr>
        <w:pStyle w:val="5"/>
        <w:spacing w:before="268" w:line="220" w:lineRule="auto"/>
        <w:ind w:left="230"/>
        <w:outlineLvl w:val="1"/>
        <w:rPr>
          <w:rFonts w:hint="eastAsia" w:ascii="宋体" w:hAnsi="宋体" w:eastAsia="宋体" w:cs="宋体"/>
          <w:b/>
          <w:bCs/>
          <w:color w:val="auto"/>
          <w:spacing w:val="-3"/>
          <w:sz w:val="22"/>
          <w:szCs w:val="22"/>
          <w:highlight w:val="none"/>
        </w:rPr>
      </w:pPr>
      <w:r>
        <w:rPr>
          <w:rFonts w:hint="eastAsia" w:ascii="宋体" w:hAnsi="宋体" w:eastAsia="宋体" w:cs="宋体"/>
          <w:b/>
          <w:bCs/>
          <w:color w:val="auto"/>
          <w:spacing w:val="-3"/>
          <w:sz w:val="22"/>
          <w:szCs w:val="22"/>
          <w:highlight w:val="none"/>
        </w:rPr>
        <w:t>3.4 水</w:t>
      </w:r>
    </w:p>
    <w:p w14:paraId="67664DF0">
      <w:pPr>
        <w:pStyle w:val="5"/>
        <w:spacing w:before="51" w:line="276" w:lineRule="auto"/>
        <w:ind w:left="122" w:right="48" w:firstLine="418"/>
        <w:rPr>
          <w:color w:val="auto"/>
          <w:highlight w:val="none"/>
        </w:rPr>
        <w:sectPr>
          <w:footerReference r:id="rId10" w:type="default"/>
          <w:pgSz w:w="11906" w:h="16838"/>
          <w:pgMar w:top="1134" w:right="1134" w:bottom="1134" w:left="1134" w:header="851" w:footer="851" w:gutter="0"/>
          <w:pgNumType w:fmt="decimal"/>
          <w:cols w:space="720" w:num="1"/>
          <w:docGrid w:linePitch="316" w:charSpace="855"/>
        </w:sectPr>
      </w:pPr>
      <w:r>
        <w:rPr>
          <w:color w:val="auto"/>
          <w:spacing w:val="-2"/>
          <w:sz w:val="21"/>
          <w:szCs w:val="21"/>
          <w:highlight w:val="none"/>
          <w:lang w:val="zh-CN"/>
        </w:rPr>
        <w:t>工程渣土再生填料拌合用水符合现行行业标准《混凝土用水标准》规定，宜使用饮用水及不含油类等杂质的清洁中性水，</w:t>
      </w:r>
      <w:r>
        <w:rPr>
          <w:b w:val="0"/>
          <w:bCs w:val="0"/>
          <w:color w:val="auto"/>
          <w:spacing w:val="-2"/>
          <w:sz w:val="21"/>
          <w:szCs w:val="21"/>
          <w:highlight w:val="none"/>
          <w:lang w:val="zh-CN"/>
        </w:rPr>
        <w:t>PH</w:t>
      </w:r>
      <w:r>
        <w:rPr>
          <w:color w:val="auto"/>
          <w:spacing w:val="-2"/>
          <w:sz w:val="21"/>
          <w:szCs w:val="21"/>
          <w:highlight w:val="none"/>
          <w:lang w:val="zh-CN"/>
        </w:rPr>
        <w:t xml:space="preserve"> 值宜为</w:t>
      </w:r>
      <w:r>
        <w:rPr>
          <w:b w:val="0"/>
          <w:bCs w:val="0"/>
          <w:color w:val="auto"/>
          <w:spacing w:val="-2"/>
          <w:sz w:val="21"/>
          <w:szCs w:val="21"/>
          <w:highlight w:val="none"/>
          <w:lang w:val="zh-CN"/>
        </w:rPr>
        <w:t>6~8</w:t>
      </w:r>
      <w:r>
        <w:rPr>
          <w:color w:val="auto"/>
          <w:spacing w:val="-2"/>
          <w:sz w:val="21"/>
          <w:szCs w:val="21"/>
          <w:highlight w:val="none"/>
          <w:lang w:val="zh-CN"/>
        </w:rPr>
        <w:t>。</w:t>
      </w:r>
    </w:p>
    <w:p w14:paraId="50801B7D">
      <w:pPr>
        <w:keepNext/>
        <w:overflowPunct w:val="0"/>
        <w:jc w:val="center"/>
        <w:outlineLvl w:val="0"/>
        <w:rPr>
          <w:rFonts w:hint="default" w:ascii="宋体" w:hAnsi="宋体" w:eastAsia="宋体" w:cs="宋体"/>
          <w:b/>
          <w:bCs/>
          <w:color w:val="auto"/>
          <w:kern w:val="0"/>
          <w:sz w:val="36"/>
          <w:szCs w:val="36"/>
          <w:highlight w:val="none"/>
          <w:lang w:val="en-US" w:eastAsia="zh-CN"/>
        </w:rPr>
      </w:pPr>
      <w:r>
        <w:rPr>
          <w:rFonts w:hint="eastAsia" w:ascii="宋体" w:hAnsi="宋体" w:eastAsia="宋体" w:cs="宋体"/>
          <w:b/>
          <w:bCs/>
          <w:color w:val="auto"/>
          <w:kern w:val="0"/>
          <w:sz w:val="36"/>
          <w:szCs w:val="36"/>
          <w:highlight w:val="none"/>
          <w:lang w:val="zh-CN"/>
        </w:rPr>
        <w:t>第五</w:t>
      </w:r>
      <w:r>
        <w:rPr>
          <w:rFonts w:hint="eastAsia" w:ascii="宋体" w:hAnsi="宋体" w:eastAsia="宋体" w:cs="宋体"/>
          <w:b/>
          <w:bCs/>
          <w:color w:val="auto"/>
          <w:kern w:val="0"/>
          <w:sz w:val="36"/>
          <w:szCs w:val="36"/>
          <w:highlight w:val="none"/>
          <w:lang w:val="en-US" w:eastAsia="zh-CN"/>
        </w:rPr>
        <w:t>章</w:t>
      </w:r>
      <w:r>
        <w:rPr>
          <w:rFonts w:hint="eastAsia" w:ascii="宋体" w:hAnsi="宋体" w:eastAsia="宋体" w:cs="宋体"/>
          <w:b/>
          <w:bCs/>
          <w:color w:val="auto"/>
          <w:kern w:val="0"/>
          <w:sz w:val="36"/>
          <w:szCs w:val="36"/>
          <w:highlight w:val="none"/>
          <w:lang w:val="zh-CN"/>
        </w:rPr>
        <w:t xml:space="preserve">  </w:t>
      </w:r>
      <w:r>
        <w:rPr>
          <w:rFonts w:hint="eastAsia" w:ascii="宋体" w:hAnsi="宋体" w:eastAsia="宋体" w:cs="宋体"/>
          <w:b/>
          <w:bCs/>
          <w:color w:val="auto"/>
          <w:kern w:val="0"/>
          <w:sz w:val="36"/>
          <w:szCs w:val="36"/>
          <w:highlight w:val="none"/>
          <w:lang w:val="en-US" w:eastAsia="zh-CN"/>
        </w:rPr>
        <w:t>评审办法</w:t>
      </w:r>
    </w:p>
    <w:p w14:paraId="64662475">
      <w:pPr>
        <w:overflowPunct w:val="0"/>
        <w:spacing w:line="420" w:lineRule="exact"/>
        <w:ind w:firstLine="420"/>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结合本项目实际情况，遵循公平、公正、科学、择优的原则选择中选人，特制定本评审办法。</w:t>
      </w:r>
    </w:p>
    <w:p w14:paraId="20504533">
      <w:pPr>
        <w:overflowPunct w:val="0"/>
        <w:spacing w:line="420" w:lineRule="exact"/>
        <w:ind w:firstLine="420"/>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一、评审依据</w:t>
      </w:r>
    </w:p>
    <w:p w14:paraId="64A74D92">
      <w:pPr>
        <w:overflowPunct w:val="0"/>
        <w:spacing w:line="420" w:lineRule="exact"/>
        <w:ind w:firstLine="420"/>
        <w:rPr>
          <w:rFonts w:hint="eastAsia" w:ascii="宋体" w:hAnsi="宋体" w:eastAsia="宋体" w:cs="宋体"/>
          <w:b w:val="0"/>
          <w:bCs/>
          <w:color w:val="auto"/>
          <w:kern w:val="0"/>
          <w:sz w:val="22"/>
          <w:highlight w:val="none"/>
          <w:lang w:val="zh-CN"/>
        </w:rPr>
      </w:pPr>
      <w:r>
        <w:rPr>
          <w:rFonts w:hint="eastAsia" w:ascii="宋体" w:hAnsi="宋体" w:eastAsia="宋体" w:cs="宋体"/>
          <w:b w:val="0"/>
          <w:bCs/>
          <w:color w:val="auto"/>
          <w:kern w:val="0"/>
          <w:sz w:val="22"/>
          <w:highlight w:val="none"/>
          <w:lang w:val="zh-CN"/>
        </w:rPr>
        <w:t>1.比选文件；</w:t>
      </w:r>
    </w:p>
    <w:p w14:paraId="6FEB79E2">
      <w:pPr>
        <w:overflowPunct w:val="0"/>
        <w:spacing w:line="420" w:lineRule="exact"/>
        <w:ind w:firstLine="420"/>
        <w:rPr>
          <w:rFonts w:hint="eastAsia" w:ascii="宋体" w:hAnsi="宋体" w:eastAsia="宋体" w:cs="宋体"/>
          <w:b w:val="0"/>
          <w:bCs/>
          <w:color w:val="auto"/>
          <w:kern w:val="0"/>
          <w:sz w:val="22"/>
          <w:highlight w:val="none"/>
          <w:lang w:val="zh-CN"/>
        </w:rPr>
      </w:pPr>
      <w:r>
        <w:rPr>
          <w:rFonts w:hint="eastAsia" w:ascii="宋体" w:hAnsi="宋体" w:eastAsia="宋体" w:cs="宋体"/>
          <w:b w:val="0"/>
          <w:bCs/>
          <w:color w:val="auto"/>
          <w:kern w:val="0"/>
          <w:sz w:val="22"/>
          <w:highlight w:val="none"/>
          <w:lang w:val="zh-CN"/>
        </w:rPr>
        <w:t>2.答疑文件（如有）、补充文件（如有）及有关规定标准等；</w:t>
      </w:r>
    </w:p>
    <w:p w14:paraId="635138A3">
      <w:pPr>
        <w:overflowPunct w:val="0"/>
        <w:spacing w:line="420" w:lineRule="exact"/>
        <w:ind w:firstLine="420"/>
        <w:rPr>
          <w:rFonts w:hint="eastAsia" w:ascii="宋体" w:hAnsi="宋体" w:eastAsia="宋体" w:cs="宋体"/>
          <w:b w:val="0"/>
          <w:bCs/>
          <w:color w:val="auto"/>
          <w:kern w:val="0"/>
          <w:sz w:val="22"/>
          <w:highlight w:val="none"/>
          <w:lang w:val="zh-CN"/>
        </w:rPr>
      </w:pPr>
      <w:r>
        <w:rPr>
          <w:rFonts w:hint="eastAsia" w:ascii="宋体" w:hAnsi="宋体" w:eastAsia="宋体" w:cs="宋体"/>
          <w:b w:val="0"/>
          <w:bCs/>
          <w:color w:val="auto"/>
          <w:kern w:val="0"/>
          <w:sz w:val="22"/>
          <w:highlight w:val="none"/>
          <w:lang w:val="zh-CN"/>
        </w:rPr>
        <w:t>3.响应文件。</w:t>
      </w:r>
    </w:p>
    <w:p w14:paraId="6685F18F">
      <w:pPr>
        <w:overflowPunct w:val="0"/>
        <w:spacing w:line="420" w:lineRule="exact"/>
        <w:ind w:firstLine="420"/>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二、评审纪律</w:t>
      </w:r>
    </w:p>
    <w:p w14:paraId="02DED9DF">
      <w:pPr>
        <w:overflowPunct w:val="0"/>
        <w:spacing w:line="420" w:lineRule="exact"/>
        <w:ind w:firstLine="420"/>
        <w:rPr>
          <w:rFonts w:hint="eastAsia" w:ascii="宋体" w:hAnsi="宋体" w:eastAsia="宋体" w:cs="宋体"/>
          <w:b w:val="0"/>
          <w:bCs/>
          <w:color w:val="auto"/>
          <w:kern w:val="0"/>
          <w:sz w:val="22"/>
          <w:highlight w:val="none"/>
          <w:lang w:val="zh-CN"/>
        </w:rPr>
      </w:pPr>
      <w:r>
        <w:rPr>
          <w:rFonts w:hint="eastAsia" w:ascii="宋体" w:hAnsi="宋体" w:eastAsia="宋体" w:cs="宋体"/>
          <w:b w:val="0"/>
          <w:bCs/>
          <w:color w:val="auto"/>
          <w:kern w:val="0"/>
          <w:sz w:val="22"/>
          <w:highlight w:val="none"/>
          <w:lang w:val="zh-CN"/>
        </w:rPr>
        <w:t>1.参加评审的有关人员，必须严格遵守国家有关保密的法律、法规和规定，接受监督部门的监督，并对整个评审过程保密。</w:t>
      </w:r>
    </w:p>
    <w:p w14:paraId="63D58C26">
      <w:pPr>
        <w:overflowPunct w:val="0"/>
        <w:spacing w:line="420" w:lineRule="exact"/>
        <w:ind w:firstLine="420"/>
        <w:rPr>
          <w:rFonts w:ascii="宋体" w:hAnsi="宋体" w:eastAsia="宋体" w:cs="宋体"/>
          <w:color w:val="auto"/>
          <w:sz w:val="22"/>
          <w:highlight w:val="none"/>
        </w:rPr>
      </w:pPr>
      <w:r>
        <w:rPr>
          <w:rFonts w:hint="eastAsia" w:ascii="宋体" w:hAnsi="宋体" w:eastAsia="宋体" w:cs="宋体"/>
          <w:b w:val="0"/>
          <w:bCs/>
          <w:color w:val="auto"/>
          <w:kern w:val="0"/>
          <w:sz w:val="22"/>
          <w:highlight w:val="none"/>
          <w:lang w:val="en-US" w:eastAsia="zh-CN"/>
        </w:rPr>
        <w:t>2</w:t>
      </w:r>
      <w:r>
        <w:rPr>
          <w:rFonts w:hint="eastAsia" w:ascii="宋体" w:hAnsi="宋体" w:eastAsia="宋体" w:cs="宋体"/>
          <w:b w:val="0"/>
          <w:bCs/>
          <w:color w:val="auto"/>
          <w:kern w:val="0"/>
          <w:sz w:val="22"/>
          <w:highlight w:val="none"/>
          <w:lang w:val="zh-CN"/>
        </w:rPr>
        <w:t>.评委应遵守评委会职责和评审纪律，并按比选文件规定的程序评审。</w:t>
      </w:r>
    </w:p>
    <w:p w14:paraId="0115106C">
      <w:pPr>
        <w:overflowPunct w:val="0"/>
        <w:spacing w:line="420" w:lineRule="exact"/>
        <w:ind w:firstLine="420"/>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三、评标程序</w:t>
      </w:r>
    </w:p>
    <w:p w14:paraId="14DF5898">
      <w:pPr>
        <w:overflowPunct w:val="0"/>
        <w:spacing w:line="420" w:lineRule="exact"/>
        <w:ind w:firstLine="420"/>
        <w:rPr>
          <w:rFonts w:ascii="宋体" w:hAnsi="宋体" w:eastAsia="宋体" w:cs="宋体"/>
          <w:color w:val="auto"/>
          <w:sz w:val="22"/>
          <w:highlight w:val="none"/>
        </w:rPr>
      </w:pPr>
      <w:r>
        <w:rPr>
          <w:rFonts w:hint="eastAsia" w:ascii="宋体" w:hAnsi="宋体" w:eastAsia="宋体" w:cs="宋体"/>
          <w:color w:val="auto"/>
          <w:sz w:val="22"/>
          <w:highlight w:val="none"/>
        </w:rPr>
        <w:t>1、采购人对各投标供应商的投标资格进行审查；然后对合格投标供应商的报价标评审，根据综合评审结果，提交评审报告。</w:t>
      </w:r>
    </w:p>
    <w:p w14:paraId="127148C7">
      <w:pPr>
        <w:overflowPunct w:val="0"/>
        <w:spacing w:line="420" w:lineRule="exact"/>
        <w:ind w:firstLine="420"/>
        <w:rPr>
          <w:rFonts w:hint="eastAsia" w:ascii="宋体" w:hAnsi="宋体" w:eastAsia="宋体" w:cs="宋体"/>
          <w:color w:val="auto"/>
          <w:sz w:val="22"/>
          <w:highlight w:val="none"/>
        </w:rPr>
      </w:pPr>
      <w:r>
        <w:rPr>
          <w:rFonts w:hint="eastAsia" w:ascii="宋体" w:hAnsi="宋体" w:eastAsia="宋体" w:cs="宋体"/>
          <w:color w:val="auto"/>
          <w:sz w:val="22"/>
          <w:highlight w:val="none"/>
        </w:rPr>
        <w:t>2、若投标供应商投标报价超出采购最高限价，作无效标处理。若所有投标供应商投标报价均超出采购最高限价，采购人无法支付，本项目做流标处理。</w:t>
      </w:r>
    </w:p>
    <w:p w14:paraId="3C91B274">
      <w:pPr>
        <w:overflowPunct w:val="0"/>
        <w:spacing w:line="420" w:lineRule="exact"/>
        <w:ind w:firstLine="42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开标后，响应文件出现下列情况之一的，应当否决其投标：</w:t>
      </w:r>
    </w:p>
    <w:p w14:paraId="3384D2D5">
      <w:pPr>
        <w:overflowPunct w:val="0"/>
        <w:spacing w:line="420" w:lineRule="exact"/>
        <w:ind w:firstLine="420"/>
        <w:rPr>
          <w:rFonts w:hint="eastAsia" w:ascii="宋体" w:hAnsi="宋体" w:eastAsia="宋体" w:cs="宋体"/>
          <w:color w:val="auto"/>
          <w:sz w:val="22"/>
          <w:highlight w:val="none"/>
        </w:rPr>
      </w:pPr>
      <w:r>
        <w:rPr>
          <w:rFonts w:hint="eastAsia" w:ascii="宋体" w:hAnsi="宋体" w:eastAsia="宋体" w:cs="宋体"/>
          <w:color w:val="auto"/>
          <w:sz w:val="22"/>
          <w:highlight w:val="none"/>
        </w:rPr>
        <w:t>（1）响应文件有关内容未按比选文件规定加盖投标人公章或未经法定代表人签字或盖章的；</w:t>
      </w:r>
    </w:p>
    <w:p w14:paraId="68F43111">
      <w:pPr>
        <w:overflowPunct w:val="0"/>
        <w:spacing w:line="420" w:lineRule="exact"/>
        <w:ind w:firstLine="420"/>
        <w:rPr>
          <w:rFonts w:hint="eastAsia" w:ascii="宋体" w:hAnsi="宋体" w:eastAsia="宋体" w:cs="宋体"/>
          <w:color w:val="auto"/>
          <w:sz w:val="22"/>
          <w:highlight w:val="none"/>
        </w:rPr>
      </w:pPr>
      <w:r>
        <w:rPr>
          <w:rFonts w:hint="eastAsia" w:ascii="宋体" w:hAnsi="宋体" w:eastAsia="宋体" w:cs="宋体"/>
          <w:color w:val="auto"/>
          <w:sz w:val="22"/>
          <w:highlight w:val="none"/>
        </w:rPr>
        <w:t>（2）投标人递交两份或多份内容不同的响应文件，或在一份响应文件中对同一比选项目报价有两个或多个，且未声明哪一个有效；</w:t>
      </w:r>
    </w:p>
    <w:p w14:paraId="0B40DA65">
      <w:pPr>
        <w:overflowPunct w:val="0"/>
        <w:spacing w:line="420" w:lineRule="exact"/>
        <w:ind w:firstLine="420"/>
        <w:rPr>
          <w:rFonts w:ascii="宋体" w:hAnsi="宋体" w:eastAsia="宋体" w:cs="宋体"/>
          <w:b/>
          <w:bCs/>
          <w:color w:val="auto"/>
          <w:sz w:val="22"/>
          <w:highlight w:val="none"/>
        </w:rPr>
      </w:pPr>
      <w:r>
        <w:rPr>
          <w:rFonts w:hint="eastAsia" w:ascii="宋体" w:hAnsi="宋体" w:eastAsia="宋体" w:cs="宋体"/>
          <w:b/>
          <w:color w:val="auto"/>
          <w:kern w:val="0"/>
          <w:sz w:val="22"/>
          <w:highlight w:val="none"/>
          <w:lang w:val="zh-CN"/>
        </w:rPr>
        <w:t>四、</w:t>
      </w:r>
      <w:r>
        <w:rPr>
          <w:rFonts w:hint="eastAsia" w:ascii="宋体" w:hAnsi="宋体" w:eastAsia="宋体" w:cs="宋体"/>
          <w:b/>
          <w:bCs/>
          <w:color w:val="auto"/>
          <w:sz w:val="22"/>
          <w:highlight w:val="none"/>
        </w:rPr>
        <w:t>商务标评审（</w:t>
      </w:r>
      <w:r>
        <w:rPr>
          <w:rFonts w:hint="eastAsia" w:ascii="宋体" w:hAnsi="宋体" w:eastAsia="宋体" w:cs="宋体"/>
          <w:b/>
          <w:bCs/>
          <w:color w:val="auto"/>
          <w:sz w:val="22"/>
          <w:highlight w:val="none"/>
          <w:lang w:val="en-US" w:eastAsia="zh-CN"/>
        </w:rPr>
        <w:t>10</w:t>
      </w:r>
      <w:r>
        <w:rPr>
          <w:rFonts w:hint="eastAsia" w:ascii="宋体" w:hAnsi="宋体" w:eastAsia="宋体" w:cs="宋体"/>
          <w:b/>
          <w:bCs/>
          <w:color w:val="auto"/>
          <w:sz w:val="22"/>
          <w:highlight w:val="none"/>
        </w:rPr>
        <w:t>0分）：当投标报价超出最高投标单价（</w:t>
      </w:r>
      <w:r>
        <w:rPr>
          <w:rFonts w:hint="eastAsia" w:ascii="宋体" w:hAnsi="宋体" w:cs="宋体"/>
          <w:b/>
          <w:bCs/>
          <w:color w:val="auto"/>
          <w:sz w:val="22"/>
          <w:highlight w:val="none"/>
          <w:lang w:val="en-US" w:eastAsia="zh-CN"/>
        </w:rPr>
        <w:t>41</w:t>
      </w:r>
      <w:r>
        <w:rPr>
          <w:rFonts w:hint="eastAsia" w:ascii="宋体" w:hAnsi="宋体" w:eastAsia="宋体" w:cs="宋体"/>
          <w:b/>
          <w:bCs/>
          <w:color w:val="auto"/>
          <w:sz w:val="22"/>
          <w:highlight w:val="none"/>
        </w:rPr>
        <w:t>元/吨</w:t>
      </w:r>
      <w:r>
        <w:rPr>
          <w:rFonts w:hint="eastAsia" w:ascii="宋体" w:hAnsi="宋体" w:eastAsia="宋体" w:cs="宋体"/>
          <w:b/>
          <w:bCs/>
          <w:color w:val="auto"/>
          <w:sz w:val="22"/>
          <w:highlight w:val="none"/>
        </w:rPr>
        <w:t>）时，该投标人按否决其投标处理，不进入后续评审。对合格的投标人进行商务标评审，评审方式如下：</w:t>
      </w:r>
    </w:p>
    <w:p w14:paraId="4E1E3626">
      <w:pPr>
        <w:overflowPunct w:val="0"/>
        <w:spacing w:line="420" w:lineRule="exact"/>
        <w:ind w:firstLine="420"/>
        <w:rPr>
          <w:rFonts w:hint="eastAsia" w:ascii="宋体" w:hAnsi="宋体" w:eastAsia="宋体" w:cs="宋体"/>
          <w:color w:val="auto"/>
          <w:sz w:val="22"/>
          <w:highlight w:val="none"/>
        </w:rPr>
      </w:pPr>
      <w:r>
        <w:rPr>
          <w:rFonts w:hint="eastAsia" w:ascii="宋体" w:hAnsi="宋体" w:eastAsia="宋体" w:cs="宋体"/>
          <w:color w:val="auto"/>
          <w:sz w:val="22"/>
          <w:highlight w:val="none"/>
        </w:rPr>
        <w:t>（1）以有效</w:t>
      </w:r>
      <w:r>
        <w:rPr>
          <w:rFonts w:hint="eastAsia" w:ascii="宋体" w:hAnsi="宋体" w:eastAsia="宋体" w:cs="宋体"/>
          <w:color w:val="auto"/>
          <w:sz w:val="22"/>
          <w:highlight w:val="none"/>
          <w:lang w:val="en-US" w:eastAsia="zh-CN"/>
        </w:rPr>
        <w:t>投标</w:t>
      </w:r>
      <w:r>
        <w:rPr>
          <w:rFonts w:hint="eastAsia" w:ascii="宋体" w:hAnsi="宋体" w:eastAsia="宋体" w:cs="宋体"/>
          <w:color w:val="auto"/>
          <w:sz w:val="22"/>
          <w:highlight w:val="none"/>
        </w:rPr>
        <w:t>供应商中有效投标价的最低价为评标基准价，得满分</w:t>
      </w:r>
      <w:r>
        <w:rPr>
          <w:rFonts w:hint="eastAsia" w:ascii="宋体" w:hAnsi="宋体" w:eastAsia="宋体" w:cs="宋体"/>
          <w:color w:val="auto"/>
          <w:sz w:val="22"/>
          <w:highlight w:val="none"/>
          <w:lang w:val="en-US" w:eastAsia="zh-CN"/>
        </w:rPr>
        <w:t>100</w:t>
      </w:r>
      <w:r>
        <w:rPr>
          <w:rFonts w:hint="eastAsia" w:ascii="宋体" w:hAnsi="宋体" w:eastAsia="宋体" w:cs="宋体"/>
          <w:color w:val="auto"/>
          <w:sz w:val="22"/>
          <w:highlight w:val="none"/>
        </w:rPr>
        <w:t>分。报价评分</w:t>
      </w:r>
      <w:r>
        <w:rPr>
          <w:rFonts w:hint="eastAsia" w:ascii="宋体" w:hAnsi="宋体" w:eastAsia="宋体" w:cs="宋体"/>
          <w:color w:val="auto"/>
          <w:sz w:val="22"/>
          <w:highlight w:val="none"/>
          <w:lang w:val="en-US" w:eastAsia="zh-CN"/>
        </w:rPr>
        <w:t>计算</w:t>
      </w:r>
      <w:r>
        <w:rPr>
          <w:rFonts w:hint="eastAsia" w:ascii="宋体" w:hAnsi="宋体" w:eastAsia="宋体" w:cs="宋体"/>
          <w:color w:val="auto"/>
          <w:sz w:val="22"/>
          <w:highlight w:val="none"/>
        </w:rPr>
        <w:t>公式为</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投标报价得分=(评标基准价／投标报价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×100。</w:t>
      </w:r>
    </w:p>
    <w:p w14:paraId="73E3E046">
      <w:pPr>
        <w:overflowPunct w:val="0"/>
        <w:spacing w:line="420" w:lineRule="exact"/>
        <w:ind w:firstLine="420"/>
        <w:rPr>
          <w:rFonts w:ascii="宋体" w:hAnsi="宋体" w:eastAsia="宋体" w:cs="宋体"/>
          <w:color w:val="auto"/>
          <w:sz w:val="22"/>
          <w:highlight w:val="none"/>
        </w:rPr>
      </w:pPr>
      <w:r>
        <w:rPr>
          <w:rFonts w:hint="eastAsia" w:ascii="宋体" w:hAnsi="宋体" w:eastAsia="宋体" w:cs="宋体"/>
          <w:color w:val="auto"/>
          <w:sz w:val="22"/>
          <w:highlight w:val="none"/>
        </w:rPr>
        <w:t>报价得分保留小数点后 2 位，第 3 位四舍五入。</w:t>
      </w:r>
    </w:p>
    <w:p w14:paraId="5AD6F7D6">
      <w:pPr>
        <w:overflowPunct w:val="0"/>
        <w:spacing w:line="420" w:lineRule="exact"/>
        <w:ind w:firstLine="420"/>
        <w:rPr>
          <w:rFonts w:hint="eastAsia" w:ascii="宋体" w:hAnsi="宋体" w:eastAsia="宋体" w:cs="宋体"/>
          <w:b/>
          <w:color w:val="auto"/>
          <w:kern w:val="0"/>
          <w:sz w:val="22"/>
          <w:highlight w:val="none"/>
          <w:lang w:val="en-US" w:eastAsia="zh-CN"/>
        </w:rPr>
      </w:pPr>
      <w:r>
        <w:rPr>
          <w:rFonts w:hint="eastAsia" w:ascii="宋体" w:hAnsi="宋体" w:eastAsia="宋体" w:cs="宋体"/>
          <w:b/>
          <w:color w:val="auto"/>
          <w:kern w:val="0"/>
          <w:sz w:val="22"/>
          <w:highlight w:val="none"/>
          <w:lang w:val="en-US" w:eastAsia="zh-CN"/>
        </w:rPr>
        <w:t>五、推荐中标候选人、出具评标报告。</w:t>
      </w:r>
    </w:p>
    <w:p w14:paraId="1B8448A0">
      <w:pPr>
        <w:overflowPunct w:val="0"/>
        <w:spacing w:line="420" w:lineRule="exact"/>
        <w:ind w:firstLine="420"/>
        <w:rPr>
          <w:color w:val="auto"/>
          <w:highlight w:val="none"/>
        </w:rPr>
      </w:pPr>
      <w:r>
        <w:rPr>
          <w:rFonts w:hint="eastAsia" w:ascii="宋体" w:hAnsi="宋体" w:eastAsia="宋体" w:cs="宋体"/>
          <w:b/>
          <w:color w:val="auto"/>
          <w:kern w:val="0"/>
          <w:sz w:val="22"/>
          <w:highlight w:val="none"/>
          <w:lang w:val="en-US" w:eastAsia="zh-CN"/>
        </w:rPr>
        <w:t>采购人应根据投标人综合得分（商务标得分）由高至低的投标人排序，提交评审报告。按比选文件的相关规定及评审办法向采购人推荐排名第一的投标人推荐为中选候选人。</w:t>
      </w:r>
    </w:p>
    <w:p w14:paraId="4F270740">
      <w:pPr>
        <w:spacing w:line="400" w:lineRule="exact"/>
        <w:ind w:left="17" w:leftChars="8" w:right="96" w:firstLine="361" w:firstLineChars="172"/>
        <w:jc w:val="center"/>
        <w:outlineLvl w:val="9"/>
        <w:rPr>
          <w:color w:val="auto"/>
          <w:highlight w:val="none"/>
        </w:rPr>
        <w:sectPr>
          <w:pgSz w:w="11906" w:h="16838"/>
          <w:pgMar w:top="1134" w:right="1134" w:bottom="1134" w:left="1134" w:header="851" w:footer="851" w:gutter="0"/>
          <w:pgNumType w:fmt="decimal"/>
          <w:cols w:space="720" w:num="1"/>
          <w:docGrid w:linePitch="316" w:charSpace="855"/>
        </w:sectPr>
      </w:pPr>
    </w:p>
    <w:p w14:paraId="446D0DA0">
      <w:pPr>
        <w:spacing w:line="400" w:lineRule="exact"/>
        <w:ind w:left="0" w:leftChars="0" w:right="0" w:firstLine="0" w:firstLineChars="0"/>
        <w:jc w:val="center"/>
        <w:outlineLvl w:val="9"/>
        <w:rPr>
          <w:rFonts w:ascii="宋体" w:hAnsi="宋体" w:eastAsia="宋体" w:cs="宋体"/>
          <w:b/>
          <w:bCs/>
          <w:color w:val="auto"/>
          <w:kern w:val="0"/>
          <w:sz w:val="36"/>
          <w:szCs w:val="36"/>
          <w:highlight w:val="none"/>
          <w:lang w:val="zh-CN"/>
        </w:rPr>
      </w:pPr>
      <w:r>
        <w:rPr>
          <w:rFonts w:hint="eastAsia" w:ascii="宋体" w:hAnsi="宋体" w:eastAsia="宋体" w:cs="宋体"/>
          <w:b/>
          <w:bCs/>
          <w:color w:val="auto"/>
          <w:kern w:val="0"/>
          <w:sz w:val="36"/>
          <w:szCs w:val="36"/>
          <w:highlight w:val="none"/>
          <w:lang w:val="zh-CN"/>
        </w:rPr>
        <w:t>第</w:t>
      </w:r>
      <w:r>
        <w:rPr>
          <w:rFonts w:hint="eastAsia" w:ascii="宋体" w:hAnsi="宋体" w:eastAsia="宋体" w:cs="宋体"/>
          <w:b/>
          <w:bCs/>
          <w:color w:val="auto"/>
          <w:kern w:val="0"/>
          <w:sz w:val="36"/>
          <w:szCs w:val="36"/>
          <w:highlight w:val="none"/>
          <w:lang w:val="en-US" w:eastAsia="zh-CN"/>
        </w:rPr>
        <w:t>六</w:t>
      </w:r>
      <w:r>
        <w:rPr>
          <w:rFonts w:hint="eastAsia" w:ascii="宋体" w:hAnsi="宋体" w:eastAsia="宋体" w:cs="宋体"/>
          <w:b/>
          <w:bCs/>
          <w:color w:val="auto"/>
          <w:kern w:val="0"/>
          <w:sz w:val="36"/>
          <w:szCs w:val="36"/>
          <w:highlight w:val="none"/>
          <w:lang w:val="zh-CN" w:eastAsia="zh-CN"/>
        </w:rPr>
        <w:t>章</w:t>
      </w:r>
      <w:r>
        <w:rPr>
          <w:rFonts w:hint="eastAsia" w:ascii="宋体" w:hAnsi="宋体" w:eastAsia="宋体" w:cs="宋体"/>
          <w:b/>
          <w:bCs/>
          <w:color w:val="auto"/>
          <w:kern w:val="0"/>
          <w:sz w:val="36"/>
          <w:szCs w:val="36"/>
          <w:highlight w:val="none"/>
          <w:lang w:val="zh-CN"/>
        </w:rPr>
        <w:t xml:space="preserve">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2" w:name="_Toc252194857"/>
      <w:bookmarkStart w:id="63" w:name="_Toc245191319"/>
      <w:bookmarkStart w:id="64" w:name="_Toc251325219"/>
      <w:bookmarkStart w:id="65" w:name="_Toc245722286"/>
      <w:bookmarkStart w:id="66" w:name="_Toc251592742"/>
      <w:bookmarkStart w:id="67" w:name="_Toc222114884"/>
      <w:bookmarkStart w:id="68" w:name="_Toc246261270"/>
      <w:bookmarkStart w:id="69" w:name="_Toc221356892"/>
      <w:bookmarkStart w:id="70" w:name="_Toc221423624"/>
      <w:bookmarkStart w:id="71" w:name="_Toc223716003"/>
      <w:bookmarkStart w:id="72" w:name="_Toc239145359"/>
      <w:bookmarkStart w:id="73" w:name="_Toc221356956"/>
      <w:bookmarkStart w:id="74" w:name="_Toc241404207"/>
      <w:bookmarkStart w:id="75" w:name="_Toc221374631"/>
      <w:r>
        <w:rPr>
          <w:rFonts w:hint="eastAsia" w:ascii="宋体" w:hAnsi="宋体" w:eastAsia="宋体" w:cs="宋体"/>
          <w:b/>
          <w:bCs/>
          <w:color w:val="auto"/>
          <w:kern w:val="0"/>
          <w:sz w:val="36"/>
          <w:szCs w:val="36"/>
          <w:highlight w:val="none"/>
          <w:lang w:val="zh-CN"/>
        </w:rPr>
        <w:t>响应文件及附表格式</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21DA976">
      <w:pPr>
        <w:overflowPunct w:val="0"/>
        <w:spacing w:before="100" w:beforeAutospacing="1" w:after="100" w:afterAutospacing="1" w:line="440" w:lineRule="exact"/>
        <w:jc w:val="left"/>
        <w:outlineLvl w:val="0"/>
        <w:rPr>
          <w:color w:val="auto"/>
          <w:highlight w:val="none"/>
        </w:rPr>
        <w:sectPr>
          <w:pgSz w:w="11906" w:h="16838"/>
          <w:pgMar w:top="1134" w:right="1134" w:bottom="1134" w:left="1134" w:header="851" w:footer="851" w:gutter="0"/>
          <w:pgNumType w:fmt="decimal"/>
          <w:cols w:space="720" w:num="1"/>
          <w:docGrid w:linePitch="316" w:charSpace="855"/>
        </w:sectPr>
      </w:pPr>
      <w:bookmarkStart w:id="76" w:name="_Toc522645680"/>
      <w:bookmarkStart w:id="77" w:name="_Toc432495801"/>
      <w:bookmarkStart w:id="78" w:name="_Toc432495859"/>
      <w:bookmarkStart w:id="79" w:name="_Toc103191979"/>
      <w:bookmarkStart w:id="80" w:name="_Toc32608"/>
      <w:bookmarkStart w:id="81" w:name="_Toc8138"/>
      <w:bookmarkStart w:id="82" w:name="_Toc4256"/>
      <w:bookmarkStart w:id="83" w:name="_Toc103191857"/>
      <w:bookmarkStart w:id="84" w:name="_Toc518895410"/>
      <w:bookmarkStart w:id="85" w:name="_Toc12222"/>
      <w:bookmarkStart w:id="86" w:name="_Toc251592744"/>
      <w:bookmarkStart w:id="87" w:name="_Toc252194859"/>
    </w:p>
    <w:p w14:paraId="44B1261C">
      <w:pPr>
        <w:overflowPunct w:val="0"/>
        <w:spacing w:before="100" w:beforeAutospacing="1" w:after="100" w:afterAutospacing="1" w:line="440" w:lineRule="exact"/>
        <w:jc w:val="left"/>
        <w:outlineLvl w:val="0"/>
        <w:rPr>
          <w:rFonts w:hint="eastAsia" w:ascii="宋体" w:hAnsi="宋体" w:eastAsia="宋体" w:cs="宋体"/>
          <w:b/>
          <w:bCs/>
          <w:color w:val="auto"/>
          <w:sz w:val="22"/>
          <w:highlight w:val="none"/>
          <w:lang w:val="en-US" w:eastAsia="zh-CN"/>
        </w:rPr>
      </w:pPr>
    </w:p>
    <w:p w14:paraId="573D6CE3">
      <w:pPr>
        <w:overflowPunct w:val="0"/>
        <w:spacing w:before="100" w:beforeAutospacing="1" w:after="100" w:afterAutospacing="1" w:line="440" w:lineRule="exact"/>
        <w:jc w:val="left"/>
        <w:outlineLvl w:val="0"/>
        <w:rPr>
          <w:rFonts w:hint="eastAsia" w:ascii="宋体" w:hAnsi="宋体" w:eastAsia="宋体" w:cs="宋体"/>
          <w:b/>
          <w:bCs/>
          <w:color w:val="auto"/>
          <w:sz w:val="22"/>
          <w:highlight w:val="none"/>
          <w:lang w:val="en-US" w:eastAsia="zh-CN"/>
        </w:rPr>
      </w:pPr>
    </w:p>
    <w:p w14:paraId="7202313E">
      <w:pPr>
        <w:overflowPunct w:val="0"/>
        <w:spacing w:before="100" w:beforeAutospacing="1" w:after="100" w:afterAutospacing="1" w:line="440" w:lineRule="exact"/>
        <w:ind w:firstLine="1546" w:firstLineChars="700"/>
        <w:jc w:val="both"/>
        <w:outlineLvl w:val="0"/>
        <w:rPr>
          <w:rFonts w:hint="eastAsia" w:ascii="宋体" w:hAnsi="宋体" w:eastAsia="宋体" w:cs="宋体"/>
          <w:b/>
          <w:bCs/>
          <w:color w:val="auto"/>
          <w:sz w:val="22"/>
          <w:highlight w:val="none"/>
          <w:u w:val="single"/>
          <w:lang w:val="en-US" w:eastAsia="zh-CN"/>
        </w:rPr>
      </w:pPr>
      <w:r>
        <w:rPr>
          <w:rFonts w:hint="eastAsia" w:ascii="宋体" w:hAnsi="宋体" w:eastAsia="宋体" w:cs="宋体"/>
          <w:b/>
          <w:bCs/>
          <w:color w:val="auto"/>
          <w:sz w:val="22"/>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（项目名称） </w:t>
      </w:r>
      <w:r>
        <w:rPr>
          <w:rFonts w:hint="eastAsia" w:ascii="宋体" w:hAnsi="宋体" w:eastAsia="宋体" w:cs="宋体"/>
          <w:b/>
          <w:bCs/>
          <w:color w:val="auto"/>
          <w:sz w:val="22"/>
          <w:highlight w:val="none"/>
          <w:u w:val="single"/>
          <w:lang w:val="en-US" w:eastAsia="zh-CN"/>
        </w:rPr>
        <w:t xml:space="preserve">                      </w:t>
      </w:r>
    </w:p>
    <w:p w14:paraId="7EBC66EC">
      <w:pPr>
        <w:overflowPunct w:val="0"/>
        <w:spacing w:before="100" w:beforeAutospacing="1" w:after="100" w:afterAutospacing="1" w:line="440" w:lineRule="exact"/>
        <w:ind w:firstLine="1546" w:firstLineChars="700"/>
        <w:jc w:val="both"/>
        <w:outlineLvl w:val="0"/>
        <w:rPr>
          <w:rFonts w:hint="eastAsia" w:ascii="宋体" w:hAnsi="宋体" w:eastAsia="宋体" w:cs="宋体"/>
          <w:b/>
          <w:bCs/>
          <w:color w:val="auto"/>
          <w:sz w:val="22"/>
          <w:highlight w:val="none"/>
          <w:u w:val="single"/>
          <w:lang w:val="en-US" w:eastAsia="zh-CN"/>
        </w:rPr>
      </w:pPr>
    </w:p>
    <w:p w14:paraId="7E5C9ABE">
      <w:pPr>
        <w:overflowPunct w:val="0"/>
        <w:spacing w:before="100" w:beforeAutospacing="1" w:after="100" w:afterAutospacing="1" w:line="440" w:lineRule="exact"/>
        <w:ind w:firstLine="1546" w:firstLineChars="700"/>
        <w:jc w:val="both"/>
        <w:outlineLvl w:val="0"/>
        <w:rPr>
          <w:rFonts w:hint="eastAsia" w:ascii="宋体" w:hAnsi="宋体" w:eastAsia="宋体" w:cs="宋体"/>
          <w:b/>
          <w:bCs/>
          <w:color w:val="auto"/>
          <w:sz w:val="22"/>
          <w:highlight w:val="none"/>
          <w:u w:val="single"/>
          <w:lang w:val="en-US" w:eastAsia="zh-CN"/>
        </w:rPr>
      </w:pPr>
    </w:p>
    <w:p w14:paraId="1199AA72">
      <w:pPr>
        <w:overflowPunct w:val="0"/>
        <w:spacing w:before="100" w:beforeAutospacing="1" w:after="100" w:afterAutospacing="1" w:line="440" w:lineRule="exact"/>
        <w:ind w:firstLine="1546" w:firstLineChars="700"/>
        <w:jc w:val="both"/>
        <w:outlineLvl w:val="0"/>
        <w:rPr>
          <w:rFonts w:hint="eastAsia" w:ascii="宋体" w:hAnsi="宋体" w:eastAsia="宋体" w:cs="宋体"/>
          <w:b/>
          <w:bCs/>
          <w:color w:val="auto"/>
          <w:sz w:val="22"/>
          <w:highlight w:val="none"/>
          <w:u w:val="single"/>
          <w:lang w:val="en-US" w:eastAsia="zh-CN"/>
        </w:rPr>
      </w:pPr>
    </w:p>
    <w:p w14:paraId="7DCB2E41">
      <w:pPr>
        <w:overflowPunct w:val="0"/>
        <w:spacing w:before="100" w:beforeAutospacing="1" w:after="100" w:afterAutospacing="1" w:line="440" w:lineRule="exact"/>
        <w:ind w:firstLine="1546" w:firstLineChars="700"/>
        <w:jc w:val="both"/>
        <w:outlineLvl w:val="0"/>
        <w:rPr>
          <w:rFonts w:hint="eastAsia" w:ascii="宋体" w:hAnsi="宋体" w:eastAsia="宋体" w:cs="宋体"/>
          <w:b/>
          <w:bCs/>
          <w:color w:val="auto"/>
          <w:sz w:val="22"/>
          <w:highlight w:val="none"/>
          <w:u w:val="single"/>
          <w:lang w:val="en-US" w:eastAsia="zh-CN"/>
        </w:rPr>
      </w:pPr>
    </w:p>
    <w:p w14:paraId="2314194E">
      <w:pPr>
        <w:overflowPunct w:val="0"/>
        <w:spacing w:before="100" w:beforeAutospacing="1" w:after="100" w:afterAutospacing="1" w:line="440" w:lineRule="exact"/>
        <w:ind w:firstLine="0" w:firstLineChars="0"/>
        <w:jc w:val="center"/>
        <w:outlineLvl w:val="0"/>
        <w:rPr>
          <w:rFonts w:hint="eastAsia"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u w:val="none"/>
          <w:lang w:val="en-US" w:eastAsia="zh-CN"/>
        </w:rPr>
        <w:t>响应文件</w:t>
      </w:r>
    </w:p>
    <w:p w14:paraId="351B3655">
      <w:pPr>
        <w:overflowPunct w:val="0"/>
        <w:spacing w:before="100" w:beforeAutospacing="1" w:after="100" w:afterAutospacing="1" w:line="440" w:lineRule="exact"/>
        <w:ind w:firstLine="0" w:firstLineChars="0"/>
        <w:jc w:val="center"/>
        <w:outlineLvl w:val="0"/>
        <w:rPr>
          <w:rFonts w:hint="eastAsia" w:ascii="宋体" w:hAnsi="宋体" w:eastAsia="宋体" w:cs="宋体"/>
          <w:b/>
          <w:bCs/>
          <w:color w:val="auto"/>
          <w:sz w:val="22"/>
          <w:highlight w:val="none"/>
          <w:u w:val="single"/>
          <w:lang w:val="en-US" w:eastAsia="zh-CN"/>
        </w:rPr>
      </w:pPr>
    </w:p>
    <w:p w14:paraId="35C1540F">
      <w:pPr>
        <w:overflowPunct w:val="0"/>
        <w:spacing w:before="100" w:beforeAutospacing="1" w:after="100" w:afterAutospacing="1" w:line="440" w:lineRule="exact"/>
        <w:ind w:firstLine="0" w:firstLineChars="0"/>
        <w:jc w:val="center"/>
        <w:outlineLvl w:val="0"/>
        <w:rPr>
          <w:rFonts w:hint="eastAsia" w:ascii="宋体" w:hAnsi="宋体" w:eastAsia="宋体" w:cs="宋体"/>
          <w:b/>
          <w:bCs/>
          <w:color w:val="auto"/>
          <w:sz w:val="22"/>
          <w:highlight w:val="none"/>
          <w:u w:val="single"/>
          <w:lang w:val="en-US" w:eastAsia="zh-CN"/>
        </w:rPr>
      </w:pPr>
    </w:p>
    <w:p w14:paraId="254C8F92">
      <w:pPr>
        <w:overflowPunct w:val="0"/>
        <w:spacing w:before="100" w:beforeAutospacing="1" w:after="100" w:afterAutospacing="1" w:line="440" w:lineRule="exact"/>
        <w:ind w:firstLine="0" w:firstLineChars="0"/>
        <w:jc w:val="center"/>
        <w:outlineLvl w:val="0"/>
        <w:rPr>
          <w:rFonts w:hint="eastAsia" w:ascii="宋体" w:hAnsi="宋体" w:eastAsia="宋体" w:cs="宋体"/>
          <w:b/>
          <w:bCs/>
          <w:color w:val="auto"/>
          <w:sz w:val="22"/>
          <w:highlight w:val="none"/>
          <w:u w:val="single"/>
          <w:lang w:val="en-US" w:eastAsia="zh-CN"/>
        </w:rPr>
      </w:pPr>
    </w:p>
    <w:p w14:paraId="3FE80C58">
      <w:pPr>
        <w:overflowPunct w:val="0"/>
        <w:spacing w:before="100" w:beforeAutospacing="1" w:after="100" w:afterAutospacing="1" w:line="440" w:lineRule="exact"/>
        <w:ind w:firstLine="0" w:firstLineChars="0"/>
        <w:jc w:val="center"/>
        <w:outlineLvl w:val="0"/>
        <w:rPr>
          <w:rFonts w:hint="eastAsia" w:ascii="宋体" w:hAnsi="宋体" w:eastAsia="宋体" w:cs="宋体"/>
          <w:b/>
          <w:bCs/>
          <w:color w:val="auto"/>
          <w:sz w:val="22"/>
          <w:highlight w:val="none"/>
          <w:u w:val="single"/>
          <w:lang w:val="en-US" w:eastAsia="zh-CN"/>
        </w:rPr>
      </w:pPr>
    </w:p>
    <w:p w14:paraId="22105B2C">
      <w:pPr>
        <w:overflowPunct w:val="0"/>
        <w:spacing w:before="100" w:beforeAutospacing="1" w:after="100" w:afterAutospacing="1" w:line="440" w:lineRule="exact"/>
        <w:ind w:firstLine="0" w:firstLineChars="0"/>
        <w:jc w:val="center"/>
        <w:outlineLvl w:val="0"/>
        <w:rPr>
          <w:rFonts w:hint="eastAsia" w:ascii="宋体" w:hAnsi="宋体" w:eastAsia="宋体" w:cs="宋体"/>
          <w:b/>
          <w:bCs/>
          <w:color w:val="auto"/>
          <w:sz w:val="22"/>
          <w:highlight w:val="none"/>
          <w:u w:val="single"/>
          <w:lang w:val="en-US" w:eastAsia="zh-CN"/>
        </w:rPr>
      </w:pPr>
    </w:p>
    <w:p w14:paraId="28D9A5CB">
      <w:pPr>
        <w:overflowPunct w:val="0"/>
        <w:spacing w:before="100" w:beforeAutospacing="1" w:after="100" w:afterAutospacing="1" w:line="440" w:lineRule="exact"/>
        <w:ind w:firstLine="562" w:firstLineChars="200"/>
        <w:jc w:val="both"/>
        <w:outlineLvl w:val="0"/>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u w:val="none"/>
          <w:lang w:val="en-US" w:eastAsia="zh-CN"/>
        </w:rPr>
        <w:t>投标人：</w:t>
      </w:r>
      <w:r>
        <w:rPr>
          <w:rFonts w:hint="eastAsia" w:ascii="宋体" w:hAnsi="宋体" w:eastAsia="宋体" w:cs="宋体"/>
          <w:b/>
          <w:bCs/>
          <w:color w:val="auto"/>
          <w:sz w:val="28"/>
          <w:szCs w:val="28"/>
          <w:highlight w:val="none"/>
          <w:u w:val="single"/>
          <w:lang w:val="en-US" w:eastAsia="zh-CN"/>
        </w:rPr>
        <w:t xml:space="preserve">                 （盖单位章）       </w:t>
      </w:r>
    </w:p>
    <w:p w14:paraId="36CC6B35">
      <w:pPr>
        <w:overflowPunct w:val="0"/>
        <w:spacing w:before="100" w:beforeAutospacing="1" w:after="100" w:afterAutospacing="1" w:line="440" w:lineRule="exact"/>
        <w:ind w:firstLine="0" w:firstLineChars="0"/>
        <w:jc w:val="center"/>
        <w:outlineLvl w:val="0"/>
        <w:rPr>
          <w:rFonts w:hint="eastAsia" w:ascii="宋体" w:hAnsi="宋体" w:eastAsia="宋体" w:cs="宋体"/>
          <w:b/>
          <w:bCs/>
          <w:color w:val="auto"/>
          <w:sz w:val="28"/>
          <w:szCs w:val="28"/>
          <w:highlight w:val="none"/>
          <w:u w:val="single"/>
          <w:lang w:val="en-US" w:eastAsia="zh-CN"/>
        </w:rPr>
      </w:pPr>
      <w:r>
        <w:rPr>
          <w:rFonts w:hint="default" w:ascii="宋体" w:hAnsi="宋体" w:eastAsia="宋体" w:cs="宋体"/>
          <w:b/>
          <w:bCs/>
          <w:color w:val="auto"/>
          <w:sz w:val="28"/>
          <w:szCs w:val="28"/>
          <w:highlight w:val="none"/>
          <w:u w:val="none"/>
          <w:lang w:val="en-US" w:eastAsia="zh-CN"/>
        </w:rPr>
        <w:t>法定代表人（单位负责人）或其委托代理人：</w:t>
      </w:r>
      <w:r>
        <w:rPr>
          <w:rFonts w:hint="eastAsia" w:ascii="宋体" w:hAnsi="宋体" w:eastAsia="宋体" w:cs="宋体"/>
          <w:b/>
          <w:bCs/>
          <w:color w:val="auto"/>
          <w:sz w:val="28"/>
          <w:szCs w:val="28"/>
          <w:highlight w:val="none"/>
          <w:u w:val="single"/>
          <w:lang w:val="en-US" w:eastAsia="zh-CN"/>
        </w:rPr>
        <w:t xml:space="preserve">      （签字或盖章）    </w:t>
      </w:r>
    </w:p>
    <w:p w14:paraId="2F17B1DD">
      <w:pPr>
        <w:overflowPunct w:val="0"/>
        <w:spacing w:before="100" w:beforeAutospacing="1" w:after="100" w:afterAutospacing="1" w:line="440" w:lineRule="exact"/>
        <w:ind w:firstLine="0" w:firstLineChars="0"/>
        <w:jc w:val="center"/>
        <w:outlineLvl w:val="0"/>
        <w:rPr>
          <w:rFonts w:hint="eastAsia" w:ascii="宋体" w:hAnsi="宋体" w:eastAsia="宋体" w:cs="宋体"/>
          <w:b/>
          <w:bCs/>
          <w:color w:val="auto"/>
          <w:sz w:val="28"/>
          <w:szCs w:val="28"/>
          <w:highlight w:val="none"/>
          <w:u w:val="none"/>
          <w:lang w:val="en-US" w:eastAsia="zh-CN"/>
        </w:rPr>
      </w:pPr>
    </w:p>
    <w:p w14:paraId="10D55A01">
      <w:pPr>
        <w:overflowPunct w:val="0"/>
        <w:spacing w:before="100" w:beforeAutospacing="1" w:after="100" w:afterAutospacing="1" w:line="440" w:lineRule="exact"/>
        <w:ind w:firstLine="0" w:firstLineChars="0"/>
        <w:jc w:val="center"/>
        <w:outlineLvl w:val="0"/>
        <w:rPr>
          <w:rFonts w:hint="default" w:ascii="宋体" w:hAnsi="宋体" w:eastAsia="宋体" w:cs="宋体"/>
          <w:b/>
          <w:bCs/>
          <w:color w:val="auto"/>
          <w:sz w:val="28"/>
          <w:szCs w:val="28"/>
          <w:highlight w:val="none"/>
          <w:u w:val="none"/>
          <w:lang w:val="en-US" w:eastAsia="zh-CN"/>
        </w:rPr>
      </w:pPr>
      <w:r>
        <w:rPr>
          <w:rFonts w:hint="eastAsia" w:ascii="宋体" w:hAnsi="宋体" w:eastAsia="宋体" w:cs="宋体"/>
          <w:b/>
          <w:bCs/>
          <w:color w:val="auto"/>
          <w:sz w:val="28"/>
          <w:szCs w:val="28"/>
          <w:highlight w:val="none"/>
          <w:u w:val="none"/>
          <w:lang w:val="en-US" w:eastAsia="zh-CN"/>
        </w:rPr>
        <w:t>年    月     日</w:t>
      </w:r>
    </w:p>
    <w:p w14:paraId="5A54FCEC">
      <w:pPr>
        <w:overflowPunct w:val="0"/>
        <w:spacing w:before="100" w:beforeAutospacing="1" w:after="100" w:afterAutospacing="1" w:line="440" w:lineRule="exact"/>
        <w:ind w:firstLine="0" w:firstLineChars="0"/>
        <w:jc w:val="center"/>
        <w:outlineLvl w:val="0"/>
        <w:rPr>
          <w:color w:val="auto"/>
          <w:highlight w:val="none"/>
        </w:rPr>
        <w:sectPr>
          <w:pgSz w:w="11906" w:h="16838"/>
          <w:pgMar w:top="1134" w:right="1134" w:bottom="1134" w:left="1134" w:header="851" w:footer="851" w:gutter="0"/>
          <w:pgNumType w:fmt="decimal"/>
          <w:cols w:space="720" w:num="1"/>
          <w:docGrid w:linePitch="316" w:charSpace="855"/>
        </w:sectPr>
      </w:pPr>
    </w:p>
    <w:p w14:paraId="0C808282">
      <w:pPr>
        <w:overflowPunct w:val="0"/>
        <w:spacing w:before="100" w:beforeAutospacing="1" w:after="100" w:afterAutospacing="1" w:line="440" w:lineRule="exact"/>
        <w:jc w:val="left"/>
        <w:outlineLvl w:val="0"/>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rPr>
        <w:t xml:space="preserve">附件一  </w:t>
      </w:r>
      <w:bookmarkEnd w:id="76"/>
      <w:bookmarkEnd w:id="77"/>
      <w:bookmarkEnd w:id="78"/>
      <w:bookmarkEnd w:id="79"/>
      <w:bookmarkEnd w:id="80"/>
      <w:bookmarkEnd w:id="81"/>
      <w:bookmarkEnd w:id="82"/>
      <w:bookmarkEnd w:id="83"/>
      <w:bookmarkEnd w:id="84"/>
      <w:bookmarkEnd w:id="85"/>
      <w:r>
        <w:rPr>
          <w:rFonts w:hint="eastAsia" w:ascii="宋体" w:hAnsi="宋体" w:eastAsia="宋体" w:cs="宋体"/>
          <w:b/>
          <w:bCs/>
          <w:color w:val="auto"/>
          <w:sz w:val="22"/>
          <w:highlight w:val="none"/>
          <w:lang w:val="en-US" w:eastAsia="zh-CN"/>
        </w:rPr>
        <w:t>报价表</w:t>
      </w:r>
    </w:p>
    <w:p w14:paraId="3DC0C66E">
      <w:pPr>
        <w:widowControl/>
        <w:jc w:val="center"/>
        <w:rPr>
          <w:rFonts w:ascii="宋体" w:hAnsi="宋体" w:eastAsia="宋体" w:cs="宋体"/>
          <w:color w:val="auto"/>
          <w:szCs w:val="21"/>
          <w:highlight w:val="none"/>
        </w:rPr>
      </w:pPr>
      <w:r>
        <w:rPr>
          <w:rFonts w:hint="eastAsia" w:ascii="仿宋" w:hAnsi="仿宋" w:eastAsia="仿宋" w:cs="宋体"/>
          <w:b/>
          <w:bCs/>
          <w:color w:val="auto"/>
          <w:kern w:val="0"/>
          <w:sz w:val="36"/>
          <w:szCs w:val="36"/>
          <w:highlight w:val="none"/>
        </w:rPr>
        <w:t>报</w:t>
      </w:r>
      <w:r>
        <w:rPr>
          <w:rFonts w:hint="eastAsia" w:ascii="仿宋" w:hAnsi="仿宋" w:eastAsia="仿宋" w:cs="宋体"/>
          <w:b/>
          <w:bCs/>
          <w:color w:val="auto"/>
          <w:kern w:val="0"/>
          <w:sz w:val="36"/>
          <w:szCs w:val="36"/>
          <w:highlight w:val="none"/>
          <w:lang w:val="en-US" w:eastAsia="zh-CN"/>
        </w:rPr>
        <w:t xml:space="preserve"> </w:t>
      </w:r>
      <w:r>
        <w:rPr>
          <w:rFonts w:hint="eastAsia" w:ascii="仿宋" w:hAnsi="仿宋" w:eastAsia="仿宋" w:cs="宋体"/>
          <w:b/>
          <w:bCs/>
          <w:color w:val="auto"/>
          <w:kern w:val="0"/>
          <w:sz w:val="36"/>
          <w:szCs w:val="36"/>
          <w:highlight w:val="none"/>
        </w:rPr>
        <w:t>价</w:t>
      </w:r>
      <w:r>
        <w:rPr>
          <w:rFonts w:hint="eastAsia" w:ascii="仿宋" w:hAnsi="仿宋" w:eastAsia="仿宋" w:cs="宋体"/>
          <w:b/>
          <w:bCs/>
          <w:color w:val="auto"/>
          <w:kern w:val="0"/>
          <w:sz w:val="36"/>
          <w:szCs w:val="36"/>
          <w:highlight w:val="none"/>
          <w:lang w:val="en-US" w:eastAsia="zh-CN"/>
        </w:rPr>
        <w:t xml:space="preserve"> </w:t>
      </w:r>
      <w:r>
        <w:rPr>
          <w:rFonts w:hint="eastAsia" w:ascii="仿宋" w:hAnsi="仿宋" w:eastAsia="仿宋" w:cs="宋体"/>
          <w:b/>
          <w:bCs/>
          <w:color w:val="auto"/>
          <w:kern w:val="0"/>
          <w:sz w:val="36"/>
          <w:szCs w:val="36"/>
          <w:highlight w:val="none"/>
        </w:rPr>
        <w:t>表</w:t>
      </w:r>
    </w:p>
    <w:tbl>
      <w:tblPr>
        <w:tblStyle w:val="11"/>
        <w:tblW w:w="91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535"/>
        <w:gridCol w:w="2400"/>
        <w:gridCol w:w="1695"/>
        <w:gridCol w:w="3510"/>
      </w:tblGrid>
      <w:tr w14:paraId="32EABE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15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E51138">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项目名称</w:t>
            </w:r>
          </w:p>
        </w:tc>
        <w:tc>
          <w:tcPr>
            <w:tcW w:w="7605"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FD6169">
            <w:pPr>
              <w:ind w:left="1227"/>
              <w:jc w:val="center"/>
              <w:rPr>
                <w:rFonts w:ascii="仿宋" w:hAnsi="仿宋" w:eastAsia="仿宋" w:cs="仿宋"/>
                <w:color w:val="auto"/>
                <w:sz w:val="24"/>
                <w:highlight w:val="none"/>
              </w:rPr>
            </w:pPr>
          </w:p>
        </w:tc>
      </w:tr>
      <w:tr w14:paraId="6A13E6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50" w:hRule="atLeast"/>
          <w:jc w:val="center"/>
        </w:trPr>
        <w:tc>
          <w:tcPr>
            <w:tcW w:w="1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05C76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项目负责人</w:t>
            </w:r>
          </w:p>
        </w:tc>
        <w:tc>
          <w:tcPr>
            <w:tcW w:w="2400" w:type="dxa"/>
            <w:tcBorders>
              <w:top w:val="nil"/>
              <w:left w:val="nil"/>
              <w:bottom w:val="single" w:color="auto" w:sz="8" w:space="0"/>
              <w:right w:val="single" w:color="auto" w:sz="8" w:space="0"/>
            </w:tcBorders>
            <w:tcMar>
              <w:top w:w="0" w:type="dxa"/>
              <w:left w:w="108" w:type="dxa"/>
              <w:bottom w:w="0" w:type="dxa"/>
              <w:right w:w="108" w:type="dxa"/>
            </w:tcMar>
            <w:vAlign w:val="center"/>
          </w:tcPr>
          <w:p w14:paraId="040C2881">
            <w:pPr>
              <w:jc w:val="center"/>
              <w:rPr>
                <w:rFonts w:ascii="仿宋" w:hAnsi="仿宋" w:eastAsia="仿宋" w:cs="仿宋"/>
                <w:color w:val="auto"/>
                <w:sz w:val="24"/>
                <w:highlight w:val="none"/>
              </w:rPr>
            </w:pPr>
          </w:p>
        </w:tc>
        <w:tc>
          <w:tcPr>
            <w:tcW w:w="1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5207855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35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76BCF72">
            <w:pPr>
              <w:ind w:left="1227"/>
              <w:jc w:val="center"/>
              <w:rPr>
                <w:rFonts w:ascii="仿宋" w:hAnsi="仿宋" w:eastAsia="仿宋" w:cs="仿宋"/>
                <w:color w:val="auto"/>
                <w:sz w:val="24"/>
                <w:highlight w:val="none"/>
              </w:rPr>
            </w:pPr>
          </w:p>
        </w:tc>
      </w:tr>
      <w:tr w14:paraId="66BB8A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050" w:hRule="atLeast"/>
          <w:jc w:val="center"/>
        </w:trPr>
        <w:tc>
          <w:tcPr>
            <w:tcW w:w="15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A52333">
            <w:pPr>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投标报价</w:t>
            </w:r>
          </w:p>
        </w:tc>
        <w:tc>
          <w:tcPr>
            <w:tcW w:w="7605"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14:paraId="477C5AFC">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lang w:val="en-US" w:eastAsia="zh-CN"/>
              </w:rPr>
              <w:t xml:space="preserve">       元/吨</w:t>
            </w:r>
          </w:p>
          <w:p w14:paraId="06FAC0C2">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大写：       元/吨</w:t>
            </w:r>
          </w:p>
        </w:tc>
      </w:tr>
      <w:tr w14:paraId="0D6A45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891" w:hRule="atLeast"/>
          <w:jc w:val="center"/>
        </w:trPr>
        <w:tc>
          <w:tcPr>
            <w:tcW w:w="9140"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14:paraId="077C0E8C">
            <w:pPr>
              <w:widowControl/>
              <w:jc w:val="left"/>
              <w:textAlignment w:val="top"/>
              <w:rPr>
                <w:rFonts w:ascii="宋体" w:hAnsi="宋体" w:eastAsia="宋体" w:cs="宋体"/>
                <w:color w:val="auto"/>
                <w:highlight w:val="none"/>
              </w:rPr>
            </w:pPr>
            <w:r>
              <w:rPr>
                <w:rFonts w:hint="eastAsia" w:ascii="宋体" w:hAnsi="宋体" w:eastAsia="宋体" w:cs="宋体"/>
                <w:color w:val="auto"/>
                <w:kern w:val="0"/>
                <w:sz w:val="24"/>
                <w:highlight w:val="none"/>
              </w:rPr>
              <w:t> </w:t>
            </w:r>
          </w:p>
          <w:p w14:paraId="372CFDFA">
            <w:pPr>
              <w:widowControl/>
              <w:jc w:val="left"/>
              <w:textAlignment w:val="top"/>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14:paraId="6C1C9917">
            <w:pPr>
              <w:pStyle w:val="18"/>
              <w:rPr>
                <w:color w:val="auto"/>
                <w:highlight w:val="none"/>
              </w:rPr>
            </w:pPr>
          </w:p>
          <w:p w14:paraId="3D125C46">
            <w:pPr>
              <w:widowControl/>
              <w:jc w:val="left"/>
              <w:textAlignment w:val="top"/>
              <w:rPr>
                <w:rFonts w:hint="eastAsia" w:ascii="仿宋" w:hAnsi="仿宋" w:eastAsia="仿宋" w:cs="仿宋"/>
                <w:color w:val="auto"/>
                <w:sz w:val="24"/>
                <w:highlight w:val="none"/>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rPr>
              <w:t>：（盖章）        </w:t>
            </w:r>
          </w:p>
          <w:p w14:paraId="255EA527">
            <w:pPr>
              <w:widowControl/>
              <w:jc w:val="left"/>
              <w:textAlignment w:val="top"/>
              <w:rPr>
                <w:rFonts w:hint="eastAsia" w:ascii="仿宋" w:hAnsi="仿宋" w:eastAsia="仿宋" w:cs="仿宋"/>
                <w:color w:val="auto"/>
                <w:sz w:val="24"/>
                <w:highlight w:val="none"/>
              </w:rPr>
            </w:pPr>
          </w:p>
          <w:p w14:paraId="17676764">
            <w:pPr>
              <w:widowControl/>
              <w:jc w:val="left"/>
              <w:textAlignment w:val="top"/>
              <w:rPr>
                <w:rFonts w:ascii="仿宋" w:hAnsi="仿宋" w:eastAsia="仿宋" w:cs="仿宋"/>
                <w:color w:val="auto"/>
                <w:sz w:val="24"/>
                <w:highlight w:val="none"/>
              </w:rPr>
            </w:pPr>
            <w:r>
              <w:rPr>
                <w:rFonts w:hint="eastAsia" w:ascii="仿宋" w:hAnsi="仿宋" w:eastAsia="仿宋" w:cs="仿宋"/>
                <w:color w:val="auto"/>
                <w:sz w:val="24"/>
                <w:highlight w:val="none"/>
              </w:rPr>
              <w:t>法定代表人（单位负责人）或其委托代理人：（盖章）</w:t>
            </w:r>
          </w:p>
          <w:p w14:paraId="386111EE">
            <w:pPr>
              <w:widowControl/>
              <w:jc w:val="left"/>
              <w:textAlignment w:val="top"/>
              <w:rPr>
                <w:rFonts w:ascii="仿宋" w:hAnsi="仿宋" w:eastAsia="仿宋" w:cs="仿宋"/>
                <w:color w:val="auto"/>
                <w:sz w:val="24"/>
                <w:highlight w:val="none"/>
              </w:rPr>
            </w:pPr>
            <w:r>
              <w:rPr>
                <w:rFonts w:hint="eastAsia" w:ascii="仿宋" w:hAnsi="仿宋" w:eastAsia="仿宋" w:cs="仿宋"/>
                <w:color w:val="auto"/>
                <w:sz w:val="24"/>
                <w:highlight w:val="none"/>
              </w:rPr>
              <w:t> </w:t>
            </w:r>
          </w:p>
          <w:p w14:paraId="1F35EEAE">
            <w:pPr>
              <w:widowControl/>
              <w:jc w:val="left"/>
              <w:textAlignment w:val="top"/>
              <w:rPr>
                <w:rFonts w:ascii="仿宋" w:hAnsi="仿宋" w:eastAsia="仿宋" w:cs="仿宋"/>
                <w:color w:val="auto"/>
                <w:sz w:val="24"/>
                <w:highlight w:val="none"/>
              </w:rPr>
            </w:pPr>
            <w:r>
              <w:rPr>
                <w:rFonts w:hint="eastAsia" w:ascii="仿宋" w:hAnsi="仿宋" w:eastAsia="仿宋" w:cs="仿宋"/>
                <w:color w:val="auto"/>
                <w:sz w:val="24"/>
                <w:highlight w:val="none"/>
              </w:rPr>
              <w:t> </w:t>
            </w:r>
          </w:p>
          <w:p w14:paraId="3FC43003">
            <w:pPr>
              <w:widowControl/>
              <w:jc w:val="left"/>
              <w:textAlignment w:val="top"/>
              <w:rPr>
                <w:rFonts w:ascii="仿宋" w:hAnsi="仿宋" w:eastAsia="仿宋" w:cs="仿宋"/>
                <w:color w:val="auto"/>
                <w:sz w:val="24"/>
                <w:highlight w:val="none"/>
              </w:rPr>
            </w:pPr>
            <w:r>
              <w:rPr>
                <w:rFonts w:hint="eastAsia" w:ascii="仿宋" w:hAnsi="仿宋" w:eastAsia="仿宋" w:cs="仿宋"/>
                <w:color w:val="auto"/>
                <w:sz w:val="24"/>
                <w:highlight w:val="none"/>
              </w:rPr>
              <w:t>                                         日期：   年  月  日</w:t>
            </w:r>
          </w:p>
          <w:p w14:paraId="6CAA9A50">
            <w:pPr>
              <w:widowControl/>
              <w:jc w:val="left"/>
              <w:textAlignment w:val="top"/>
              <w:rPr>
                <w:rFonts w:ascii="宋体" w:hAnsi="宋体" w:eastAsia="宋体" w:cs="宋体"/>
                <w:color w:val="auto"/>
                <w:highlight w:val="none"/>
              </w:rPr>
            </w:pPr>
            <w:r>
              <w:rPr>
                <w:rFonts w:hint="eastAsia" w:ascii="宋体" w:hAnsi="宋体" w:eastAsia="宋体" w:cs="宋体"/>
                <w:color w:val="auto"/>
                <w:kern w:val="0"/>
                <w:sz w:val="24"/>
                <w:highlight w:val="none"/>
              </w:rPr>
              <w:t> </w:t>
            </w:r>
          </w:p>
        </w:tc>
      </w:tr>
    </w:tbl>
    <w:p w14:paraId="22FEA427">
      <w:pPr>
        <w:spacing w:line="500" w:lineRule="exact"/>
        <w:rPr>
          <w:rFonts w:hint="eastAsia" w:ascii="宋体" w:hAnsi="宋体" w:eastAsia="宋体" w:cs="宋体"/>
          <w:color w:val="auto"/>
          <w:sz w:val="22"/>
          <w:highlight w:val="none"/>
          <w:lang w:val="en-US" w:eastAsia="zh-CN"/>
        </w:rPr>
      </w:pPr>
      <w:bookmarkStart w:id="88" w:name="_Toc301515374"/>
      <w:bookmarkStart w:id="89" w:name="_Toc518895411"/>
      <w:bookmarkStart w:id="90" w:name="_Toc10775"/>
      <w:bookmarkStart w:id="91" w:name="_Toc6014"/>
      <w:bookmarkStart w:id="92" w:name="_Toc432495860"/>
      <w:bookmarkStart w:id="93" w:name="_Toc301515477"/>
      <w:bookmarkStart w:id="94" w:name="_Toc432495802"/>
    </w:p>
    <w:p w14:paraId="2ED61924">
      <w:pPr>
        <w:overflowPunct w:val="0"/>
        <w:spacing w:before="100" w:beforeAutospacing="1" w:after="100" w:afterAutospacing="1" w:line="440" w:lineRule="exact"/>
        <w:jc w:val="left"/>
        <w:outlineLvl w:val="0"/>
        <w:rPr>
          <w:rFonts w:ascii="宋体" w:hAnsi="宋体" w:eastAsia="宋体" w:cs="宋体"/>
          <w:b/>
          <w:bCs/>
          <w:color w:val="auto"/>
          <w:sz w:val="22"/>
          <w:highlight w:val="none"/>
        </w:rPr>
      </w:pPr>
      <w:bookmarkStart w:id="95" w:name="_Toc522645681"/>
    </w:p>
    <w:p w14:paraId="59D038ED">
      <w:pPr>
        <w:overflowPunct w:val="0"/>
        <w:spacing w:before="100" w:beforeAutospacing="1" w:after="100" w:afterAutospacing="1" w:line="440" w:lineRule="exact"/>
        <w:jc w:val="left"/>
        <w:outlineLvl w:val="0"/>
        <w:rPr>
          <w:rFonts w:ascii="宋体" w:hAnsi="宋体" w:eastAsia="宋体" w:cs="宋体"/>
          <w:b/>
          <w:bCs/>
          <w:color w:val="auto"/>
          <w:sz w:val="22"/>
          <w:highlight w:val="none"/>
        </w:rPr>
      </w:pPr>
    </w:p>
    <w:p w14:paraId="0902F886">
      <w:pPr>
        <w:rPr>
          <w:color w:val="auto"/>
          <w:highlight w:val="none"/>
        </w:rPr>
        <w:sectPr>
          <w:pgSz w:w="11906" w:h="16838"/>
          <w:pgMar w:top="1134" w:right="1134" w:bottom="1134" w:left="1134" w:header="851" w:footer="851" w:gutter="0"/>
          <w:pgNumType w:fmt="decimal"/>
          <w:cols w:space="720" w:num="1"/>
          <w:docGrid w:linePitch="316" w:charSpace="855"/>
        </w:sectPr>
      </w:pPr>
      <w:bookmarkStart w:id="96" w:name="_Toc26569"/>
      <w:bookmarkStart w:id="97" w:name="_Toc103191980"/>
      <w:bookmarkStart w:id="98" w:name="_Toc103191858"/>
      <w:bookmarkStart w:id="99" w:name="_Toc16924"/>
    </w:p>
    <w:bookmarkEnd w:id="88"/>
    <w:bookmarkEnd w:id="89"/>
    <w:bookmarkEnd w:id="90"/>
    <w:bookmarkEnd w:id="91"/>
    <w:bookmarkEnd w:id="92"/>
    <w:bookmarkEnd w:id="93"/>
    <w:bookmarkEnd w:id="94"/>
    <w:bookmarkEnd w:id="95"/>
    <w:bookmarkEnd w:id="96"/>
    <w:bookmarkEnd w:id="97"/>
    <w:bookmarkEnd w:id="98"/>
    <w:bookmarkEnd w:id="99"/>
    <w:p w14:paraId="5724D1CF">
      <w:pPr>
        <w:rPr>
          <w:rFonts w:ascii="宋体" w:hAnsi="宋体" w:eastAsia="宋体" w:cs="宋体"/>
          <w:b/>
          <w:bCs/>
          <w:color w:val="auto"/>
          <w:sz w:val="22"/>
          <w:highlight w:val="none"/>
        </w:rPr>
      </w:pPr>
    </w:p>
    <w:p w14:paraId="734D31B9">
      <w:pPr>
        <w:overflowPunct w:val="0"/>
        <w:spacing w:before="100" w:beforeAutospacing="1" w:after="100" w:afterAutospacing="1" w:line="440" w:lineRule="exact"/>
        <w:jc w:val="left"/>
        <w:outlineLvl w:val="0"/>
        <w:rPr>
          <w:rFonts w:ascii="宋体" w:hAnsi="宋体" w:eastAsia="宋体" w:cs="宋体"/>
          <w:b/>
          <w:bCs/>
          <w:color w:val="auto"/>
          <w:sz w:val="22"/>
          <w:highlight w:val="none"/>
        </w:rPr>
      </w:pPr>
      <w:bookmarkStart w:id="100" w:name="_Toc103191860"/>
      <w:bookmarkStart w:id="101" w:name="_Toc518895415"/>
      <w:bookmarkStart w:id="102" w:name="_Toc522645683"/>
      <w:bookmarkStart w:id="103" w:name="_Toc432495805"/>
      <w:bookmarkStart w:id="104" w:name="_Toc21622"/>
      <w:bookmarkStart w:id="105" w:name="_Toc2939"/>
      <w:bookmarkStart w:id="106" w:name="_Toc103191982"/>
      <w:bookmarkStart w:id="107" w:name="_Toc301515377"/>
      <w:bookmarkStart w:id="108" w:name="_Toc432495863"/>
      <w:bookmarkStart w:id="109" w:name="_Toc3836"/>
      <w:bookmarkStart w:id="110" w:name="_Toc27695"/>
      <w:bookmarkStart w:id="111" w:name="_Toc301515480"/>
      <w:r>
        <w:rPr>
          <w:rFonts w:hint="eastAsia" w:ascii="宋体" w:hAnsi="宋体" w:eastAsia="宋体" w:cs="宋体"/>
          <w:b/>
          <w:bCs/>
          <w:color w:val="auto"/>
          <w:sz w:val="22"/>
          <w:highlight w:val="none"/>
        </w:rPr>
        <w:t>附件</w:t>
      </w:r>
      <w:r>
        <w:rPr>
          <w:rFonts w:hint="eastAsia" w:ascii="宋体" w:hAnsi="宋体" w:eastAsia="宋体" w:cs="宋体"/>
          <w:b/>
          <w:bCs/>
          <w:color w:val="auto"/>
          <w:sz w:val="22"/>
          <w:highlight w:val="none"/>
          <w:lang w:val="en-US" w:eastAsia="zh-CN"/>
        </w:rPr>
        <w:t>二</w:t>
      </w:r>
      <w:r>
        <w:rPr>
          <w:rFonts w:hint="eastAsia" w:ascii="宋体" w:hAnsi="宋体" w:eastAsia="宋体" w:cs="宋体"/>
          <w:b/>
          <w:bCs/>
          <w:color w:val="auto"/>
          <w:sz w:val="22"/>
          <w:highlight w:val="none"/>
        </w:rPr>
        <w:t xml:space="preserve"> </w:t>
      </w:r>
      <w:r>
        <w:rPr>
          <w:rFonts w:hint="eastAsia" w:ascii="宋体" w:hAnsi="宋体" w:eastAsia="宋体" w:cs="宋体"/>
          <w:b/>
          <w:bCs/>
          <w:color w:val="auto"/>
          <w:sz w:val="22"/>
          <w:highlight w:val="none"/>
          <w:lang w:val="en-US" w:eastAsia="zh-CN"/>
        </w:rPr>
        <w:t xml:space="preserve"> </w:t>
      </w:r>
      <w:r>
        <w:rPr>
          <w:rFonts w:hint="eastAsia" w:ascii="宋体" w:hAnsi="宋体" w:eastAsia="宋体" w:cs="宋体"/>
          <w:b/>
          <w:bCs/>
          <w:color w:val="auto"/>
          <w:sz w:val="22"/>
          <w:highlight w:val="none"/>
        </w:rPr>
        <w:t>法定代表人证明书及授权委托书</w:t>
      </w:r>
      <w:bookmarkEnd w:id="100"/>
      <w:bookmarkEnd w:id="101"/>
      <w:bookmarkEnd w:id="102"/>
      <w:bookmarkEnd w:id="103"/>
      <w:bookmarkEnd w:id="104"/>
      <w:bookmarkEnd w:id="105"/>
      <w:bookmarkEnd w:id="106"/>
      <w:bookmarkEnd w:id="107"/>
      <w:bookmarkEnd w:id="108"/>
      <w:bookmarkEnd w:id="109"/>
      <w:bookmarkEnd w:id="110"/>
      <w:bookmarkEnd w:id="111"/>
    </w:p>
    <w:p w14:paraId="0715E811">
      <w:pPr>
        <w:spacing w:line="380" w:lineRule="exact"/>
        <w:ind w:left="-359" w:leftChars="-171"/>
        <w:jc w:val="left"/>
        <w:rPr>
          <w:rFonts w:ascii="宋体" w:hAnsi="宋体" w:eastAsia="宋体" w:cs="宋体"/>
          <w:b/>
          <w:bCs/>
          <w:color w:val="auto"/>
          <w:sz w:val="28"/>
          <w:szCs w:val="28"/>
          <w:highlight w:val="none"/>
        </w:rPr>
      </w:pPr>
    </w:p>
    <w:p w14:paraId="4C70AC7B">
      <w:pPr>
        <w:pStyle w:val="3"/>
        <w:widowControl/>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法定代表人证明书</w:t>
      </w:r>
    </w:p>
    <w:p w14:paraId="36CDF898">
      <w:pPr>
        <w:widowControl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rPr>
      </w:pPr>
    </w:p>
    <w:p w14:paraId="3E379014">
      <w:pPr>
        <w:widowControl w:val="0"/>
        <w:spacing w:before="0" w:beforeAutospacing="0" w:after="0" w:afterAutospacing="0" w:line="360" w:lineRule="auto"/>
        <w:ind w:left="0" w:right="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lang w:val="en-US" w:eastAsia="zh-CN"/>
        </w:rPr>
        <w:t>投标人名称：</w:t>
      </w:r>
      <w:r>
        <w:rPr>
          <w:rFonts w:hint="eastAsia" w:ascii="宋体" w:hAnsi="宋体" w:eastAsia="宋体" w:cs="宋体"/>
          <w:color w:val="auto"/>
          <w:kern w:val="2"/>
          <w:sz w:val="22"/>
          <w:szCs w:val="22"/>
          <w:highlight w:val="none"/>
          <w:u w:val="single"/>
          <w:lang w:val="en-US" w:eastAsia="zh-CN"/>
        </w:rPr>
        <w:t xml:space="preserve">                                   </w:t>
      </w:r>
    </w:p>
    <w:p w14:paraId="6CD7194A">
      <w:pPr>
        <w:widowControl w:val="0"/>
        <w:spacing w:before="0" w:beforeAutospacing="0" w:after="0" w:afterAutospacing="0" w:line="360" w:lineRule="auto"/>
        <w:ind w:left="0" w:right="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姓名：</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lang w:val="en-US" w:eastAsia="zh-CN"/>
        </w:rPr>
        <w:t>性别：</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lang w:val="en-US" w:eastAsia="zh-CN"/>
        </w:rPr>
        <w:t>年龄：</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lang w:val="en-US" w:eastAsia="zh-CN"/>
        </w:rPr>
        <w:t>职务：</w:t>
      </w:r>
      <w:r>
        <w:rPr>
          <w:rFonts w:hint="eastAsia" w:ascii="宋体" w:hAnsi="宋体" w:eastAsia="宋体" w:cs="宋体"/>
          <w:color w:val="auto"/>
          <w:kern w:val="2"/>
          <w:sz w:val="22"/>
          <w:szCs w:val="22"/>
          <w:highlight w:val="none"/>
          <w:u w:val="single"/>
          <w:lang w:val="en-US" w:eastAsia="zh-CN"/>
        </w:rPr>
        <w:t xml:space="preserve">   </w:t>
      </w:r>
    </w:p>
    <w:p w14:paraId="353F7F6F">
      <w:pPr>
        <w:widowControl w:val="0"/>
        <w:spacing w:before="0" w:beforeAutospacing="0" w:after="0" w:afterAutospacing="0" w:line="360" w:lineRule="auto"/>
        <w:ind w:left="0" w:right="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系</w:t>
      </w:r>
      <w:r>
        <w:rPr>
          <w:rFonts w:hint="eastAsia" w:ascii="宋体" w:hAnsi="宋体" w:eastAsia="宋体" w:cs="宋体"/>
          <w:i/>
          <w:iCs w:val="0"/>
          <w:color w:val="auto"/>
          <w:kern w:val="2"/>
          <w:sz w:val="22"/>
          <w:szCs w:val="22"/>
          <w:highlight w:val="none"/>
          <w:u w:val="single"/>
          <w:lang w:val="en-US" w:eastAsia="zh-CN"/>
        </w:rPr>
        <w:t>（投标人名称）</w:t>
      </w:r>
      <w:r>
        <w:rPr>
          <w:rFonts w:hint="eastAsia" w:ascii="宋体" w:hAnsi="宋体" w:eastAsia="宋体" w:cs="宋体"/>
          <w:color w:val="auto"/>
          <w:kern w:val="2"/>
          <w:sz w:val="22"/>
          <w:szCs w:val="22"/>
          <w:highlight w:val="none"/>
          <w:lang w:val="en-US" w:eastAsia="zh-CN"/>
        </w:rPr>
        <w:t>的法定代表人。</w:t>
      </w:r>
    </w:p>
    <w:p w14:paraId="3A3C48D1">
      <w:pPr>
        <w:widowControl w:val="0"/>
        <w:spacing w:before="0" w:beforeAutospacing="0" w:after="0" w:afterAutospacing="0" w:line="360" w:lineRule="auto"/>
        <w:ind w:left="0" w:right="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特此证明。</w:t>
      </w:r>
    </w:p>
    <w:p w14:paraId="35BE5A0D">
      <w:pPr>
        <w:widowControl w:val="0"/>
        <w:spacing w:before="0" w:beforeAutospacing="0" w:after="0" w:afterAutospacing="0" w:line="360" w:lineRule="auto"/>
        <w:ind w:left="0" w:right="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16B6EE57">
      <w:pPr>
        <w:widowControl w:val="0"/>
        <w:spacing w:before="0" w:beforeAutospacing="0" w:after="0" w:afterAutospacing="0" w:line="360" w:lineRule="auto"/>
        <w:ind w:left="0" w:right="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55DC8FF2">
      <w:pPr>
        <w:widowControl w:val="0"/>
        <w:spacing w:before="0" w:beforeAutospacing="0" w:after="0" w:afterAutospacing="0" w:line="360" w:lineRule="auto"/>
        <w:ind w:left="0" w:right="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附：法定代表人身份证复制件。</w:t>
      </w:r>
    </w:p>
    <w:p w14:paraId="702665B1">
      <w:pPr>
        <w:widowControl w:val="0"/>
        <w:spacing w:before="0" w:beforeAutospacing="0" w:after="0" w:afterAutospacing="0" w:line="360" w:lineRule="auto"/>
        <w:ind w:left="0" w:right="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7BB3A2BE">
      <w:pPr>
        <w:widowControl w:val="0"/>
        <w:spacing w:before="0" w:beforeAutospacing="0" w:after="0" w:afterAutospacing="0" w:line="360" w:lineRule="auto"/>
        <w:ind w:left="0" w:right="0"/>
        <w:jc w:val="left"/>
        <w:rPr>
          <w:rFonts w:hint="eastAsia" w:ascii="宋体" w:hAnsi="宋体" w:eastAsia="宋体" w:cs="宋体"/>
          <w:color w:val="auto"/>
          <w:kern w:val="2"/>
          <w:sz w:val="22"/>
          <w:szCs w:val="22"/>
          <w:highlight w:val="none"/>
        </w:rPr>
      </w:pPr>
    </w:p>
    <w:p w14:paraId="12A6B7F4">
      <w:pPr>
        <w:widowControl w:val="0"/>
        <w:spacing w:before="0" w:beforeAutospacing="0" w:after="0" w:afterAutospacing="0" w:line="360" w:lineRule="auto"/>
        <w:ind w:left="0" w:right="0"/>
        <w:jc w:val="righ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37D85B09">
      <w:pPr>
        <w:widowControl w:val="0"/>
        <w:spacing w:before="0" w:beforeAutospacing="0" w:after="0" w:afterAutospacing="0" w:line="360" w:lineRule="auto"/>
        <w:ind w:left="0" w:right="0"/>
        <w:jc w:val="righ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150F682E">
      <w:pPr>
        <w:widowControl w:val="0"/>
        <w:spacing w:before="0" w:beforeAutospacing="0" w:after="0" w:afterAutospacing="0" w:line="360" w:lineRule="auto"/>
        <w:ind w:left="0" w:right="0"/>
        <w:jc w:val="righ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投标人： （盖单位章）</w:t>
      </w:r>
    </w:p>
    <w:p w14:paraId="5F1EDD02">
      <w:pPr>
        <w:widowControl w:val="0"/>
        <w:wordWrap w:val="0"/>
        <w:spacing w:before="0" w:beforeAutospacing="0" w:after="0" w:afterAutospacing="0" w:line="360" w:lineRule="auto"/>
        <w:ind w:left="0" w:right="0"/>
        <w:jc w:val="righ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年   月   日</w:t>
      </w:r>
    </w:p>
    <w:p w14:paraId="074BF4CB">
      <w:pPr>
        <w:widowControl w:val="0"/>
        <w:spacing w:before="0" w:beforeAutospacing="0" w:after="0" w:afterAutospacing="0" w:line="360" w:lineRule="auto"/>
        <w:ind w:left="0" w:right="0"/>
        <w:jc w:val="righ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 </w:t>
      </w:r>
    </w:p>
    <w:p w14:paraId="4D492BB4">
      <w:pPr>
        <w:widowControl w:val="0"/>
        <w:spacing w:before="0" w:beforeAutospacing="0" w:after="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rPr>
        <w:t xml:space="preserve"> </w:t>
      </w:r>
    </w:p>
    <w:p w14:paraId="4932BA40">
      <w:pPr>
        <w:pStyle w:val="18"/>
        <w:widowControl/>
        <w:tabs>
          <w:tab w:val="left" w:pos="482"/>
          <w:tab w:val="left" w:pos="2183"/>
          <w:tab w:val="left" w:pos="3884"/>
          <w:tab w:val="left" w:pos="5585"/>
        </w:tabs>
        <w:spacing w:before="0" w:beforeAutospacing="1"/>
        <w:ind w:left="0" w:right="0"/>
        <w:rPr>
          <w:rFonts w:hint="default" w:ascii="Calibri" w:hAnsi="Calibri" w:eastAsia="宋体" w:cs="Times New Roman"/>
          <w:color w:val="auto"/>
          <w:kern w:val="0"/>
          <w:sz w:val="24"/>
          <w:szCs w:val="24"/>
          <w:highlight w:val="none"/>
        </w:rPr>
      </w:pPr>
      <w:r>
        <w:rPr>
          <w:rFonts w:hint="default" w:ascii="Calibri" w:hAnsi="Calibri" w:eastAsia="宋体" w:cs="Times New Roman"/>
          <w:color w:val="auto"/>
          <w:kern w:val="0"/>
          <w:sz w:val="24"/>
          <w:szCs w:val="24"/>
          <w:highlight w:val="none"/>
        </w:rPr>
        <w:t xml:space="preserve"> </w:t>
      </w:r>
    </w:p>
    <w:p w14:paraId="0258F148">
      <w:pPr>
        <w:pStyle w:val="9"/>
        <w:widowControl/>
        <w:spacing w:before="0" w:beforeAutospacing="1" w:after="0" w:afterAutospacing="1"/>
        <w:ind w:leftChars="1000" w:right="0"/>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rPr>
        <w:t xml:space="preserve"> </w:t>
      </w:r>
    </w:p>
    <w:p w14:paraId="0B7A42F7">
      <w:pPr>
        <w:rPr>
          <w:color w:val="auto"/>
          <w:highlight w:val="none"/>
        </w:rPr>
        <w:sectPr>
          <w:pgSz w:w="11906" w:h="16838"/>
          <w:pgMar w:top="1418" w:right="1588" w:bottom="1418" w:left="1588" w:header="851" w:footer="992" w:gutter="0"/>
          <w:pgNumType w:fmt="decimal"/>
          <w:cols w:space="720" w:num="1"/>
          <w:docGrid w:type="lines" w:linePitch="312" w:charSpace="0"/>
        </w:sectPr>
      </w:pPr>
    </w:p>
    <w:p w14:paraId="671B0E0F">
      <w:pPr>
        <w:pStyle w:val="3"/>
        <w:widowControl/>
        <w:jc w:val="center"/>
        <w:rPr>
          <w:rFonts w:hint="eastAsia" w:ascii="宋体" w:hAnsi="宋体" w:eastAsia="宋体" w:cs="宋体"/>
          <w:b/>
          <w:bCs w:val="0"/>
          <w:color w:val="auto"/>
          <w:kern w:val="0"/>
          <w:sz w:val="24"/>
          <w:szCs w:val="24"/>
          <w:highlight w:val="none"/>
        </w:rPr>
      </w:pPr>
      <w:bookmarkStart w:id="112" w:name="_Toc23796"/>
      <w:bookmarkEnd w:id="112"/>
      <w:bookmarkStart w:id="113" w:name="_Toc614075281"/>
      <w:bookmarkStart w:id="114" w:name="_Toc9394"/>
      <w:r>
        <w:rPr>
          <w:rFonts w:hint="eastAsia" w:ascii="宋体" w:hAnsi="宋体" w:eastAsia="宋体" w:cs="宋体"/>
          <w:b/>
          <w:bCs w:val="0"/>
          <w:color w:val="auto"/>
          <w:kern w:val="0"/>
          <w:sz w:val="24"/>
          <w:szCs w:val="24"/>
          <w:highlight w:val="none"/>
        </w:rPr>
        <w:t>授权委托书</w:t>
      </w:r>
      <w:bookmarkEnd w:id="113"/>
      <w:bookmarkEnd w:id="114"/>
    </w:p>
    <w:p w14:paraId="13E199A2">
      <w:pPr>
        <w:widowControl w:val="0"/>
        <w:spacing w:before="0" w:beforeAutospacing="0" w:after="0" w:afterAutospacing="0" w:line="360" w:lineRule="auto"/>
        <w:ind w:left="0" w:right="0"/>
        <w:jc w:val="both"/>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 xml:space="preserve"> </w:t>
      </w:r>
    </w:p>
    <w:p w14:paraId="1F791A7A">
      <w:pPr>
        <w:widowControl w:val="0"/>
        <w:spacing w:before="0" w:beforeAutospacing="0" w:after="0" w:afterAutospacing="0" w:line="360" w:lineRule="auto"/>
        <w:ind w:left="0" w:right="-313" w:rightChars="-149"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本</w:t>
      </w:r>
      <w:r>
        <w:rPr>
          <w:rFonts w:hint="eastAsia" w:ascii="宋体" w:hAnsi="宋体" w:eastAsia="宋体" w:cs="宋体"/>
          <w:i/>
          <w:iCs w:val="0"/>
          <w:color w:val="auto"/>
          <w:kern w:val="2"/>
          <w:sz w:val="22"/>
          <w:szCs w:val="22"/>
          <w:highlight w:val="none"/>
          <w:lang w:val="en-US" w:eastAsia="zh-CN"/>
        </w:rPr>
        <w:t>人</w:t>
      </w:r>
      <w:r>
        <w:rPr>
          <w:rFonts w:hint="eastAsia" w:ascii="宋体" w:hAnsi="宋体" w:eastAsia="宋体" w:cs="宋体"/>
          <w:i/>
          <w:iCs w:val="0"/>
          <w:color w:val="auto"/>
          <w:kern w:val="2"/>
          <w:sz w:val="22"/>
          <w:szCs w:val="22"/>
          <w:highlight w:val="none"/>
          <w:u w:val="single"/>
          <w:lang w:val="en-US" w:eastAsia="zh-CN"/>
        </w:rPr>
        <w:t xml:space="preserve"> （姓名）</w:t>
      </w:r>
      <w:r>
        <w:rPr>
          <w:rFonts w:hint="eastAsia" w:ascii="宋体" w:hAnsi="宋体" w:eastAsia="宋体" w:cs="宋体"/>
          <w:color w:val="auto"/>
          <w:kern w:val="2"/>
          <w:sz w:val="22"/>
          <w:szCs w:val="22"/>
          <w:highlight w:val="none"/>
          <w:lang w:val="en-US" w:eastAsia="zh-CN"/>
        </w:rPr>
        <w:t>系</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i/>
          <w:iCs w:val="0"/>
          <w:color w:val="auto"/>
          <w:kern w:val="2"/>
          <w:sz w:val="22"/>
          <w:szCs w:val="22"/>
          <w:highlight w:val="none"/>
          <w:u w:val="single"/>
          <w:lang w:val="en-US" w:eastAsia="zh-CN"/>
        </w:rPr>
        <w:t>（投标人名称）</w:t>
      </w:r>
      <w:r>
        <w:rPr>
          <w:rFonts w:hint="eastAsia" w:ascii="宋体" w:hAnsi="宋体" w:eastAsia="宋体" w:cs="宋体"/>
          <w:color w:val="auto"/>
          <w:kern w:val="2"/>
          <w:sz w:val="22"/>
          <w:szCs w:val="22"/>
          <w:highlight w:val="none"/>
          <w:lang w:val="en-US" w:eastAsia="zh-CN"/>
        </w:rPr>
        <w:t>的法定代表人，现委托</w:t>
      </w:r>
      <w:r>
        <w:rPr>
          <w:rFonts w:hint="eastAsia" w:ascii="宋体" w:hAnsi="宋体" w:eastAsia="宋体" w:cs="宋体"/>
          <w:i/>
          <w:iCs w:val="0"/>
          <w:color w:val="auto"/>
          <w:kern w:val="2"/>
          <w:sz w:val="22"/>
          <w:szCs w:val="22"/>
          <w:highlight w:val="none"/>
          <w:u w:val="single"/>
          <w:lang w:val="en-US" w:eastAsia="zh-CN"/>
        </w:rPr>
        <w:t>（姓名）</w:t>
      </w:r>
      <w:r>
        <w:rPr>
          <w:rFonts w:hint="eastAsia" w:ascii="宋体" w:hAnsi="宋体" w:eastAsia="宋体" w:cs="宋体"/>
          <w:color w:val="auto"/>
          <w:kern w:val="2"/>
          <w:sz w:val="22"/>
          <w:szCs w:val="22"/>
          <w:highlight w:val="none"/>
          <w:lang w:val="en-US" w:eastAsia="zh-CN"/>
        </w:rPr>
        <w:t>为我方代理人。代理人根据授权，以我方名义签署、澄清确认、递交、撤回、修改</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i/>
          <w:iCs w:val="0"/>
          <w:color w:val="auto"/>
          <w:kern w:val="2"/>
          <w:sz w:val="22"/>
          <w:szCs w:val="22"/>
          <w:highlight w:val="none"/>
          <w:u w:val="single"/>
          <w:lang w:val="en-US" w:eastAsia="zh-CN"/>
        </w:rPr>
        <w:t xml:space="preserve"> （项目名称）</w:t>
      </w:r>
      <w:r>
        <w:rPr>
          <w:rFonts w:hint="eastAsia" w:ascii="宋体" w:hAnsi="宋体" w:eastAsia="宋体" w:cs="宋体"/>
          <w:color w:val="auto"/>
          <w:kern w:val="2"/>
          <w:sz w:val="22"/>
          <w:szCs w:val="22"/>
          <w:highlight w:val="none"/>
          <w:u w:val="single"/>
          <w:lang w:val="en-US" w:eastAsia="zh-CN"/>
        </w:rPr>
        <w:t xml:space="preserve">       比选</w:t>
      </w:r>
      <w:r>
        <w:rPr>
          <w:rFonts w:hint="eastAsia" w:ascii="宋体" w:hAnsi="宋体" w:eastAsia="宋体" w:cs="宋体"/>
          <w:color w:val="auto"/>
          <w:kern w:val="2"/>
          <w:sz w:val="22"/>
          <w:szCs w:val="22"/>
          <w:highlight w:val="none"/>
          <w:lang w:val="en-US" w:eastAsia="zh-CN"/>
        </w:rPr>
        <w:t>项目响应文件、签订合同和处理有关事宜，其法律后果由我方承担。</w:t>
      </w:r>
    </w:p>
    <w:p w14:paraId="545B6F86">
      <w:pPr>
        <w:widowControl w:val="0"/>
        <w:spacing w:before="0" w:beforeAutospacing="0" w:after="0" w:afterAutospacing="0" w:line="360" w:lineRule="auto"/>
        <w:ind w:left="0" w:right="0"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委托期限：</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lang w:val="en-US" w:eastAsia="zh-CN"/>
        </w:rPr>
        <w:t>。</w:t>
      </w:r>
    </w:p>
    <w:p w14:paraId="1BB51C15">
      <w:pPr>
        <w:widowControl w:val="0"/>
        <w:spacing w:before="0" w:beforeAutospacing="0" w:after="0" w:afterAutospacing="0" w:line="360" w:lineRule="auto"/>
        <w:ind w:left="0" w:right="0"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代理人无转委托权。</w:t>
      </w:r>
    </w:p>
    <w:p w14:paraId="0116914C">
      <w:pPr>
        <w:widowControl w:val="0"/>
        <w:spacing w:before="0" w:beforeAutospacing="0" w:after="0" w:afterAutospacing="0" w:line="360" w:lineRule="auto"/>
        <w:ind w:left="0" w:right="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17D1EB5B">
      <w:pPr>
        <w:widowControl w:val="0"/>
        <w:spacing w:before="0" w:beforeAutospacing="0" w:after="0" w:afterAutospacing="0" w:line="360" w:lineRule="auto"/>
        <w:ind w:left="0" w:right="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附：法定代表人身份证复制件及委托代理人身份证复制件</w:t>
      </w:r>
    </w:p>
    <w:p w14:paraId="252E43C6">
      <w:pPr>
        <w:widowControl w:val="0"/>
        <w:spacing w:before="0" w:beforeAutospacing="0" w:after="0" w:afterAutospacing="0" w:line="360" w:lineRule="auto"/>
        <w:ind w:left="0" w:right="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3C6AE6A9">
      <w:pPr>
        <w:widowControl w:val="0"/>
        <w:spacing w:before="0" w:beforeAutospacing="0" w:after="0" w:afterAutospacing="0" w:line="360" w:lineRule="auto"/>
        <w:ind w:left="0" w:right="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注：本授权委托书需由投标人加盖单位公章并由其法定代表人和委托代理人签字或盖章。</w:t>
      </w:r>
    </w:p>
    <w:p w14:paraId="36D7DBD0">
      <w:pPr>
        <w:widowControl w:val="0"/>
        <w:spacing w:before="0" w:beforeAutospacing="0" w:after="0" w:afterAutospacing="0" w:line="360" w:lineRule="auto"/>
        <w:ind w:left="0" w:right="0"/>
        <w:jc w:val="righ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085FDCE3">
      <w:pPr>
        <w:widowControl w:val="0"/>
        <w:spacing w:before="0" w:beforeAutospacing="0" w:after="0" w:afterAutospacing="0" w:line="360" w:lineRule="auto"/>
        <w:ind w:left="0" w:right="0"/>
        <w:jc w:val="righ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1FF1B2A5">
      <w:pPr>
        <w:widowControl w:val="0"/>
        <w:spacing w:before="0" w:beforeAutospacing="0" w:after="0" w:afterAutospacing="0" w:line="360" w:lineRule="auto"/>
        <w:ind w:left="0" w:right="0"/>
        <w:jc w:val="righ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03649349">
      <w:pPr>
        <w:widowControl w:val="0"/>
        <w:spacing w:before="0" w:beforeAutospacing="0" w:after="0" w:afterAutospacing="0" w:line="360" w:lineRule="auto"/>
        <w:ind w:left="0" w:right="0" w:firstLine="3960" w:firstLineChars="18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lang w:val="en-US" w:eastAsia="zh-CN"/>
        </w:rPr>
        <w:t>投 标 人：</w:t>
      </w:r>
      <w:r>
        <w:rPr>
          <w:rFonts w:hint="eastAsia" w:ascii="宋体" w:hAnsi="宋体" w:eastAsia="宋体" w:cs="宋体"/>
          <w:color w:val="auto"/>
          <w:kern w:val="2"/>
          <w:sz w:val="22"/>
          <w:szCs w:val="22"/>
          <w:highlight w:val="none"/>
          <w:u w:val="single"/>
          <w:lang w:val="en-US" w:eastAsia="zh-CN"/>
        </w:rPr>
        <w:t xml:space="preserve">            （盖单位章）</w:t>
      </w:r>
    </w:p>
    <w:p w14:paraId="702C674D">
      <w:pPr>
        <w:widowControl w:val="0"/>
        <w:spacing w:before="0" w:beforeAutospacing="0" w:after="0" w:afterAutospacing="0" w:line="360" w:lineRule="auto"/>
        <w:ind w:left="0" w:right="0" w:firstLine="3960" w:firstLineChars="18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1BD5C25C">
      <w:pPr>
        <w:widowControl w:val="0"/>
        <w:spacing w:before="0" w:beforeAutospacing="0" w:after="0" w:afterAutospacing="0" w:line="360" w:lineRule="auto"/>
        <w:ind w:left="0" w:right="0" w:firstLine="3960" w:firstLineChars="18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lang w:val="en-US" w:eastAsia="zh-CN"/>
        </w:rPr>
        <w:t>法定代表人：</w:t>
      </w:r>
      <w:r>
        <w:rPr>
          <w:rFonts w:hint="eastAsia" w:ascii="宋体" w:hAnsi="宋体" w:eastAsia="宋体" w:cs="宋体"/>
          <w:color w:val="auto"/>
          <w:kern w:val="2"/>
          <w:sz w:val="22"/>
          <w:szCs w:val="22"/>
          <w:highlight w:val="none"/>
          <w:u w:val="single"/>
          <w:lang w:val="en-US" w:eastAsia="zh-CN"/>
        </w:rPr>
        <w:t xml:space="preserve">         （签字或盖章）   </w:t>
      </w:r>
    </w:p>
    <w:p w14:paraId="3046EF1B">
      <w:pPr>
        <w:widowControl w:val="0"/>
        <w:spacing w:before="0" w:beforeAutospacing="0" w:after="0" w:afterAutospacing="0" w:line="360" w:lineRule="auto"/>
        <w:ind w:left="0" w:right="0" w:firstLine="3960" w:firstLineChars="18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39652E09">
      <w:pPr>
        <w:widowControl w:val="0"/>
        <w:spacing w:before="0" w:beforeAutospacing="0" w:after="0" w:afterAutospacing="0" w:line="360" w:lineRule="auto"/>
        <w:ind w:left="0" w:right="0" w:firstLine="3960" w:firstLineChars="1800"/>
        <w:jc w:val="both"/>
        <w:rPr>
          <w:rFonts w:hint="default" w:ascii="宋体" w:hAnsi="宋体" w:eastAsia="宋体" w:cs="宋体"/>
          <w:color w:val="auto"/>
          <w:kern w:val="2"/>
          <w:sz w:val="22"/>
          <w:szCs w:val="22"/>
          <w:highlight w:val="none"/>
          <w:u w:val="single"/>
          <w:lang w:val="en-US"/>
        </w:rPr>
      </w:pPr>
      <w:r>
        <w:rPr>
          <w:rFonts w:hint="eastAsia" w:ascii="宋体" w:hAnsi="宋体" w:eastAsia="宋体" w:cs="宋体"/>
          <w:color w:val="auto"/>
          <w:kern w:val="2"/>
          <w:sz w:val="22"/>
          <w:szCs w:val="22"/>
          <w:highlight w:val="none"/>
          <w:lang w:val="en-US" w:eastAsia="zh-CN"/>
        </w:rPr>
        <w:t>身份证号码：</w:t>
      </w:r>
      <w:r>
        <w:rPr>
          <w:rFonts w:hint="eastAsia" w:ascii="宋体" w:hAnsi="宋体" w:eastAsia="宋体" w:cs="宋体"/>
          <w:color w:val="auto"/>
          <w:kern w:val="2"/>
          <w:sz w:val="22"/>
          <w:szCs w:val="22"/>
          <w:highlight w:val="none"/>
          <w:u w:val="single"/>
          <w:lang w:val="en-US" w:eastAsia="zh-CN"/>
        </w:rPr>
        <w:t xml:space="preserve">                          </w:t>
      </w:r>
    </w:p>
    <w:p w14:paraId="273EBCBE">
      <w:pPr>
        <w:widowControl w:val="0"/>
        <w:spacing w:before="0" w:beforeAutospacing="0" w:after="0" w:afterAutospacing="0" w:line="360" w:lineRule="auto"/>
        <w:ind w:left="0" w:right="0" w:firstLine="3960" w:firstLineChars="18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5D4C7D3F">
      <w:pPr>
        <w:widowControl w:val="0"/>
        <w:spacing w:before="0" w:beforeAutospacing="0" w:after="0" w:afterAutospacing="0" w:line="360" w:lineRule="auto"/>
        <w:ind w:left="0" w:right="0" w:firstLine="3960" w:firstLineChars="18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lang w:val="en-US" w:eastAsia="zh-CN"/>
        </w:rPr>
        <w:t>委托代理人：</w:t>
      </w:r>
      <w:r>
        <w:rPr>
          <w:rFonts w:hint="eastAsia" w:ascii="宋体" w:hAnsi="宋体" w:eastAsia="宋体" w:cs="宋体"/>
          <w:color w:val="auto"/>
          <w:kern w:val="2"/>
          <w:sz w:val="22"/>
          <w:szCs w:val="22"/>
          <w:highlight w:val="none"/>
          <w:u w:val="single"/>
          <w:lang w:val="en-US" w:eastAsia="zh-CN"/>
        </w:rPr>
        <w:t xml:space="preserve">              （签字或盖章）</w:t>
      </w:r>
    </w:p>
    <w:p w14:paraId="00526BC2">
      <w:pPr>
        <w:widowControl w:val="0"/>
        <w:spacing w:before="0" w:beforeAutospacing="0" w:after="0" w:afterAutospacing="0" w:line="360" w:lineRule="auto"/>
        <w:ind w:left="0" w:right="0" w:firstLine="3960" w:firstLineChars="18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w:t>
      </w:r>
    </w:p>
    <w:p w14:paraId="6917DECC">
      <w:pPr>
        <w:widowControl w:val="0"/>
        <w:spacing w:before="0" w:beforeAutospacing="0" w:after="0" w:afterAutospacing="0" w:line="360" w:lineRule="auto"/>
        <w:ind w:left="0" w:right="0" w:firstLine="3960" w:firstLineChars="18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身份证号码：</w:t>
      </w:r>
      <w:r>
        <w:rPr>
          <w:rFonts w:hint="eastAsia" w:ascii="宋体" w:hAnsi="宋体" w:eastAsia="宋体" w:cs="宋体"/>
          <w:color w:val="auto"/>
          <w:kern w:val="2"/>
          <w:sz w:val="22"/>
          <w:szCs w:val="22"/>
          <w:highlight w:val="none"/>
          <w:u w:val="single"/>
          <w:lang w:val="en-US" w:eastAsia="zh-CN"/>
        </w:rPr>
        <w:t xml:space="preserve">                           </w:t>
      </w:r>
    </w:p>
    <w:p w14:paraId="1E2476D2">
      <w:pPr>
        <w:widowControl w:val="0"/>
        <w:spacing w:before="0" w:beforeAutospacing="0" w:after="0" w:afterAutospacing="0" w:line="360" w:lineRule="auto"/>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 xml:space="preserve">                                                       年   月   日</w:t>
      </w:r>
    </w:p>
    <w:p w14:paraId="3A868CAB">
      <w:pPr>
        <w:overflowPunct w:val="0"/>
        <w:spacing w:before="100" w:beforeAutospacing="1" w:after="100" w:afterAutospacing="1" w:line="440" w:lineRule="exact"/>
        <w:jc w:val="left"/>
        <w:outlineLvl w:val="0"/>
        <w:rPr>
          <w:rFonts w:ascii="宋体" w:hAnsi="宋体" w:eastAsia="宋体" w:cs="宋体"/>
          <w:b/>
          <w:bCs/>
          <w:color w:val="auto"/>
          <w:sz w:val="24"/>
          <w:szCs w:val="24"/>
          <w:highlight w:val="none"/>
        </w:rPr>
      </w:pPr>
      <w:bookmarkStart w:id="115" w:name="_Toc103191984"/>
      <w:bookmarkStart w:id="116" w:name="_Toc103191862"/>
    </w:p>
    <w:p w14:paraId="278D86B2">
      <w:pPr>
        <w:overflowPunct w:val="0"/>
        <w:spacing w:before="100" w:beforeAutospacing="1" w:after="100" w:afterAutospacing="1" w:line="440" w:lineRule="exact"/>
        <w:jc w:val="left"/>
        <w:outlineLvl w:val="0"/>
        <w:rPr>
          <w:color w:val="auto"/>
          <w:highlight w:val="none"/>
        </w:rPr>
        <w:sectPr>
          <w:pgSz w:w="11906" w:h="16838"/>
          <w:pgMar w:top="1134" w:right="1134" w:bottom="1134" w:left="1134" w:header="851" w:footer="851" w:gutter="0"/>
          <w:pgNumType w:fmt="decimal"/>
          <w:cols w:space="720" w:num="1"/>
          <w:docGrid w:linePitch="316" w:charSpace="855"/>
        </w:sectPr>
      </w:pPr>
      <w:bookmarkStart w:id="117" w:name="_Toc21257"/>
      <w:bookmarkStart w:id="118" w:name="_Toc129"/>
    </w:p>
    <w:p w14:paraId="7CB75905">
      <w:pPr>
        <w:overflowPunct w:val="0"/>
        <w:spacing w:before="100" w:beforeAutospacing="1" w:after="100" w:afterAutospacing="1" w:line="440" w:lineRule="exact"/>
        <w:jc w:val="left"/>
        <w:outlineLvl w:val="0"/>
        <w:rPr>
          <w:rFonts w:hint="eastAsia" w:ascii="宋体" w:hAnsi="宋体" w:eastAsia="宋体" w:cs="宋体"/>
          <w:b/>
          <w:bCs/>
          <w:color w:val="auto"/>
          <w:sz w:val="22"/>
          <w:highlight w:val="none"/>
        </w:rPr>
      </w:pPr>
      <w:r>
        <w:rPr>
          <w:rFonts w:hint="eastAsia" w:ascii="宋体" w:hAnsi="宋体" w:eastAsia="宋体" w:cs="宋体"/>
          <w:b/>
          <w:bCs/>
          <w:color w:val="auto"/>
          <w:sz w:val="22"/>
          <w:szCs w:val="22"/>
          <w:highlight w:val="none"/>
        </w:rPr>
        <w:t>附件</w:t>
      </w:r>
      <w:bookmarkEnd w:id="117"/>
      <w:bookmarkEnd w:id="118"/>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 xml:space="preserve">                               </w:t>
      </w:r>
      <w:bookmarkEnd w:id="115"/>
      <w:bookmarkEnd w:id="116"/>
    </w:p>
    <w:p w14:paraId="7973AC37">
      <w:pPr>
        <w:spacing w:line="360" w:lineRule="auto"/>
        <w:jc w:val="center"/>
        <w:rPr>
          <w:rFonts w:ascii="宋体" w:hAnsi="宋体" w:eastAsia="宋体" w:cs="宋体"/>
          <w:b/>
          <w:color w:val="auto"/>
          <w:sz w:val="44"/>
          <w:szCs w:val="44"/>
          <w:highlight w:val="none"/>
        </w:rPr>
      </w:pPr>
      <w:bookmarkStart w:id="119" w:name="_Toc46765261"/>
      <w:r>
        <w:rPr>
          <w:rFonts w:hint="eastAsia" w:ascii="宋体" w:hAnsi="宋体" w:eastAsia="宋体" w:cs="宋体"/>
          <w:b/>
          <w:color w:val="auto"/>
          <w:kern w:val="0"/>
          <w:sz w:val="24"/>
          <w:szCs w:val="24"/>
          <w:highlight w:val="none"/>
        </w:rPr>
        <w:t>营业执照、税务登记证；（如为多证合一仅需提供营业执照）</w:t>
      </w:r>
    </w:p>
    <w:tbl>
      <w:tblPr>
        <w:tblStyle w:val="11"/>
        <w:tblW w:w="9145"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01102579">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05CCE7A9">
            <w:pPr>
              <w:pStyle w:val="17"/>
              <w:spacing w:before="0" w:beforeAutospacing="0" w:after="0" w:afterAutospacing="0" w:line="420" w:lineRule="exact"/>
              <w:ind w:firstLine="480" w:firstLineChars="200"/>
              <w:rPr>
                <w:rFonts w:ascii="宋体" w:hAnsi="宋体" w:cs="宋体"/>
                <w:color w:val="auto"/>
                <w:highlight w:val="none"/>
              </w:rPr>
            </w:pPr>
          </w:p>
        </w:tc>
      </w:tr>
    </w:tbl>
    <w:p w14:paraId="0E37F822">
      <w:pPr>
        <w:rPr>
          <w:rFonts w:ascii="宋体" w:hAnsi="宋体" w:eastAsia="宋体" w:cs="宋体"/>
          <w:color w:val="auto"/>
          <w:highlight w:val="none"/>
        </w:rPr>
      </w:pPr>
      <w:r>
        <w:rPr>
          <w:rFonts w:hint="eastAsia" w:ascii="宋体" w:hAnsi="宋体" w:eastAsia="宋体" w:cs="宋体"/>
          <w:color w:val="auto"/>
          <w:highlight w:val="none"/>
        </w:rPr>
        <w:br w:type="page"/>
      </w:r>
    </w:p>
    <w:p w14:paraId="719F1F2A">
      <w:pPr>
        <w:pStyle w:val="4"/>
        <w:rPr>
          <w:rFonts w:hint="eastAsia" w:ascii="宋体" w:hAnsi="宋体" w:cs="宋体"/>
          <w:bCs/>
          <w:color w:val="auto"/>
          <w:kern w:val="2"/>
          <w:sz w:val="22"/>
          <w:szCs w:val="22"/>
          <w:highlight w:val="none"/>
          <w:lang w:val="en-US"/>
        </w:rPr>
      </w:pPr>
      <w:bookmarkStart w:id="120" w:name="_Toc22182"/>
      <w:bookmarkStart w:id="121" w:name="_Toc3209"/>
      <w:r>
        <w:rPr>
          <w:rFonts w:hint="eastAsia" w:ascii="宋体" w:hAnsi="宋体" w:cs="宋体"/>
          <w:bCs/>
          <w:color w:val="auto"/>
          <w:kern w:val="2"/>
          <w:sz w:val="22"/>
          <w:szCs w:val="22"/>
          <w:highlight w:val="none"/>
          <w:lang w:val="en-US"/>
        </w:rPr>
        <w:t>附件</w:t>
      </w:r>
      <w:r>
        <w:rPr>
          <w:rFonts w:hint="eastAsia" w:ascii="宋体" w:hAnsi="宋体" w:cs="宋体"/>
          <w:bCs/>
          <w:color w:val="auto"/>
          <w:kern w:val="2"/>
          <w:sz w:val="22"/>
          <w:szCs w:val="22"/>
          <w:highlight w:val="none"/>
          <w:lang w:val="en-US" w:eastAsia="zh-CN"/>
        </w:rPr>
        <w:t>四</w:t>
      </w:r>
      <w:r>
        <w:rPr>
          <w:rFonts w:hint="eastAsia" w:ascii="宋体" w:hAnsi="宋体" w:cs="宋体"/>
          <w:bCs/>
          <w:color w:val="auto"/>
          <w:kern w:val="2"/>
          <w:sz w:val="22"/>
          <w:szCs w:val="22"/>
          <w:highlight w:val="none"/>
          <w:lang w:val="en-US"/>
        </w:rPr>
        <w:t xml:space="preserve"> </w:t>
      </w:r>
      <w:bookmarkEnd w:id="120"/>
      <w:bookmarkEnd w:id="121"/>
    </w:p>
    <w:p w14:paraId="4B139EDC">
      <w:pPr>
        <w:pStyle w:val="17"/>
        <w:adjustRightInd w:val="0"/>
        <w:snapToGrid w:val="0"/>
        <w:spacing w:before="0" w:beforeAutospacing="0" w:after="0" w:afterAutospacing="0" w:line="360" w:lineRule="auto"/>
        <w:ind w:left="400"/>
        <w:jc w:val="center"/>
        <w:rPr>
          <w:rFonts w:ascii="宋体" w:hAnsi="宋体" w:cs="宋体"/>
          <w:color w:val="auto"/>
          <w:sz w:val="32"/>
          <w:szCs w:val="32"/>
          <w:highlight w:val="none"/>
        </w:rPr>
      </w:pPr>
    </w:p>
    <w:p w14:paraId="4C752302">
      <w:pPr>
        <w:pStyle w:val="17"/>
        <w:adjustRightInd w:val="0"/>
        <w:snapToGrid w:val="0"/>
        <w:spacing w:before="0" w:beforeAutospacing="0" w:after="0" w:afterAutospacing="0" w:line="420" w:lineRule="exact"/>
        <w:ind w:left="4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参与比选活动响应资格声明函</w:t>
      </w:r>
    </w:p>
    <w:p w14:paraId="1D85EC1E">
      <w:pPr>
        <w:spacing w:line="420" w:lineRule="exact"/>
        <w:rPr>
          <w:rFonts w:ascii="宋体" w:hAnsi="宋体" w:eastAsia="宋体" w:cs="宋体"/>
          <w:color w:val="auto"/>
          <w:szCs w:val="21"/>
          <w:highlight w:val="none"/>
          <w:u w:val="single"/>
        </w:rPr>
      </w:pPr>
    </w:p>
    <w:p w14:paraId="3A8E2854">
      <w:pPr>
        <w:spacing w:line="420" w:lineRule="exac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温州市海宸技术开发有限公司：</w:t>
      </w:r>
    </w:p>
    <w:p w14:paraId="5F375C2D">
      <w:pPr>
        <w:pStyle w:val="17"/>
        <w:spacing w:before="0" w:beforeAutospacing="0" w:after="0" w:afterAutospacing="0" w:line="420" w:lineRule="exact"/>
        <w:ind w:left="400" w:firstLine="880" w:firstLineChars="400"/>
        <w:rPr>
          <w:rFonts w:ascii="宋体" w:hAnsi="宋体" w:cs="宋体"/>
          <w:color w:val="auto"/>
          <w:sz w:val="22"/>
          <w:szCs w:val="22"/>
          <w:highlight w:val="none"/>
        </w:rPr>
      </w:pPr>
    </w:p>
    <w:p w14:paraId="372EA71C">
      <w:pPr>
        <w:pStyle w:val="17"/>
        <w:spacing w:before="0" w:beforeAutospacing="0" w:after="0" w:afterAutospacing="0" w:line="42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我方</w:t>
      </w:r>
      <w:r>
        <w:rPr>
          <w:rFonts w:hint="eastAsia" w:ascii="宋体" w:hAnsi="宋体" w:cs="宋体"/>
          <w:color w:val="auto"/>
          <w:sz w:val="22"/>
          <w:szCs w:val="22"/>
          <w:highlight w:val="none"/>
          <w:u w:val="single"/>
        </w:rPr>
        <w:t xml:space="preserve">    （供应商全称）  </w:t>
      </w:r>
      <w:r>
        <w:rPr>
          <w:rFonts w:hint="eastAsia" w:ascii="宋体" w:hAnsi="宋体" w:cs="宋体"/>
          <w:color w:val="auto"/>
          <w:sz w:val="22"/>
          <w:szCs w:val="22"/>
          <w:highlight w:val="none"/>
        </w:rPr>
        <w:t>参与</w:t>
      </w:r>
      <w:r>
        <w:rPr>
          <w:rFonts w:hint="eastAsia" w:ascii="宋体" w:hAnsi="宋体" w:cs="宋体"/>
          <w:color w:val="auto"/>
          <w:sz w:val="22"/>
          <w:szCs w:val="22"/>
          <w:highlight w:val="none"/>
          <w:u w:val="single"/>
        </w:rPr>
        <w:t xml:space="preserve">      （项目名称）   </w:t>
      </w:r>
      <w:r>
        <w:rPr>
          <w:rFonts w:hint="eastAsia" w:ascii="宋体" w:hAnsi="宋体" w:cs="宋体"/>
          <w:color w:val="auto"/>
          <w:sz w:val="22"/>
          <w:szCs w:val="22"/>
          <w:highlight w:val="none"/>
          <w:lang w:val="en-US" w:eastAsia="zh-CN"/>
        </w:rPr>
        <w:t>比选</w:t>
      </w:r>
      <w:r>
        <w:rPr>
          <w:rFonts w:hint="eastAsia" w:ascii="宋体" w:hAnsi="宋体" w:cs="宋体"/>
          <w:color w:val="auto"/>
          <w:sz w:val="22"/>
          <w:szCs w:val="22"/>
          <w:highlight w:val="none"/>
        </w:rPr>
        <w:t>活动，做如下承诺：</w:t>
      </w:r>
    </w:p>
    <w:p w14:paraId="51456003">
      <w:pPr>
        <w:pStyle w:val="17"/>
        <w:spacing w:before="0" w:beforeAutospacing="0" w:after="0" w:afterAutospacing="0" w:line="42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1、我方具有良好的商业信誉和健全的财务会计制度；</w:t>
      </w:r>
    </w:p>
    <w:p w14:paraId="4AD3EF9A">
      <w:pPr>
        <w:pStyle w:val="17"/>
        <w:spacing w:before="0" w:beforeAutospacing="0" w:after="0" w:afterAutospacing="0" w:line="42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2、我方具有履行合同所必需的设备和专业技术、售后保障等能力；</w:t>
      </w:r>
    </w:p>
    <w:p w14:paraId="5018E9BD">
      <w:pPr>
        <w:pStyle w:val="17"/>
        <w:spacing w:before="0" w:beforeAutospacing="0" w:after="0" w:afterAutospacing="0" w:line="42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3、我方有依法缴纳税收和社会保障资金的良好记录；</w:t>
      </w:r>
    </w:p>
    <w:p w14:paraId="7EDB2A00">
      <w:pPr>
        <w:pStyle w:val="17"/>
        <w:spacing w:before="0" w:beforeAutospacing="0" w:after="0" w:afterAutospacing="0" w:line="42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4、我方在参加采购、招投标等活动前三年内，在经营活动中没有重大违法记录、严重失信行为和行贿记录；</w:t>
      </w:r>
    </w:p>
    <w:p w14:paraId="01589238">
      <w:pPr>
        <w:pStyle w:val="17"/>
        <w:spacing w:before="0" w:beforeAutospacing="0" w:after="0" w:afterAutospacing="0" w:line="42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5、我方郑重承诺，我方此次参加本项目的响应，与参加本次项目同一合同项下比选活动的其他供应商不存在单位负责人为同一人或者直接控股、管理关系。如有虚假或隐瞒，愿意承担一切后果。</w:t>
      </w:r>
    </w:p>
    <w:p w14:paraId="71FDCEE8">
      <w:pPr>
        <w:pStyle w:val="17"/>
        <w:spacing w:before="0" w:beforeAutospacing="0" w:after="0" w:afterAutospacing="0" w:line="420" w:lineRule="exact"/>
        <w:ind w:firstLine="420"/>
        <w:rPr>
          <w:rFonts w:hint="eastAsia" w:ascii="宋体" w:hAnsi="宋体" w:cs="宋体"/>
          <w:color w:val="auto"/>
          <w:sz w:val="22"/>
          <w:szCs w:val="22"/>
          <w:highlight w:val="none"/>
        </w:rPr>
      </w:pPr>
    </w:p>
    <w:p w14:paraId="1986DCEC">
      <w:pPr>
        <w:pStyle w:val="17"/>
        <w:spacing w:before="0" w:beforeAutospacing="0" w:after="0" w:afterAutospacing="0" w:line="420" w:lineRule="exact"/>
        <w:ind w:firstLine="420"/>
        <w:rPr>
          <w:rFonts w:ascii="宋体" w:hAnsi="宋体" w:cs="宋体"/>
          <w:color w:val="auto"/>
          <w:sz w:val="22"/>
          <w:szCs w:val="22"/>
          <w:highlight w:val="none"/>
        </w:rPr>
      </w:pPr>
      <w:r>
        <w:rPr>
          <w:rFonts w:hint="eastAsia" w:ascii="宋体" w:hAnsi="宋体" w:cs="宋体"/>
          <w:color w:val="auto"/>
          <w:sz w:val="22"/>
          <w:szCs w:val="22"/>
          <w:highlight w:val="none"/>
        </w:rPr>
        <w:t>我方对上述承诺内容的真实性负责。如有虚假，将依法承担相应责任。</w:t>
      </w:r>
    </w:p>
    <w:p w14:paraId="78630BD9">
      <w:pPr>
        <w:pStyle w:val="17"/>
        <w:spacing w:before="0" w:beforeAutospacing="0" w:after="0" w:afterAutospacing="0" w:line="420" w:lineRule="exact"/>
        <w:ind w:left="400" w:firstLine="440" w:firstLineChars="200"/>
        <w:rPr>
          <w:rFonts w:ascii="宋体" w:hAnsi="宋体" w:cs="宋体"/>
          <w:color w:val="auto"/>
          <w:sz w:val="22"/>
          <w:szCs w:val="22"/>
          <w:highlight w:val="none"/>
        </w:rPr>
      </w:pPr>
    </w:p>
    <w:p w14:paraId="0D5A65E9">
      <w:pPr>
        <w:pStyle w:val="17"/>
        <w:spacing w:before="0" w:beforeAutospacing="0" w:after="0" w:afterAutospacing="0" w:line="420" w:lineRule="exact"/>
        <w:ind w:left="400" w:firstLine="442" w:firstLineChars="200"/>
        <w:rPr>
          <w:rFonts w:ascii="宋体" w:hAnsi="宋体" w:cs="宋体"/>
          <w:b/>
          <w:bCs/>
          <w:color w:val="auto"/>
          <w:sz w:val="22"/>
          <w:szCs w:val="22"/>
          <w:highlight w:val="none"/>
        </w:rPr>
      </w:pPr>
    </w:p>
    <w:p w14:paraId="3E7FED2B">
      <w:pPr>
        <w:pStyle w:val="17"/>
        <w:spacing w:before="0" w:beforeAutospacing="0" w:after="0" w:afterAutospacing="0" w:line="420" w:lineRule="exact"/>
        <w:ind w:left="40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投 标 人 ：（盖章） </w:t>
      </w:r>
    </w:p>
    <w:p w14:paraId="0D48DBE3">
      <w:pPr>
        <w:pStyle w:val="17"/>
        <w:spacing w:before="0" w:beforeAutospacing="0" w:after="0" w:afterAutospacing="0" w:line="420" w:lineRule="exact"/>
        <w:ind w:left="40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法定代表人（单位负责人）或其委托代理人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（签字或盖章）</w:t>
      </w:r>
    </w:p>
    <w:p w14:paraId="59073DD7">
      <w:pPr>
        <w:spacing w:line="400" w:lineRule="exact"/>
        <w:ind w:firstLine="880" w:firstLineChars="400"/>
        <w:jc w:val="left"/>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2"/>
          <w:highlight w:val="none"/>
          <w:lang w:val="en-US" w:eastAsia="zh-CN"/>
        </w:rPr>
        <w:t>日期：    年     月   日</w:t>
      </w:r>
    </w:p>
    <w:p w14:paraId="3CDB3288">
      <w:pPr>
        <w:spacing w:line="400" w:lineRule="exact"/>
        <w:jc w:val="left"/>
        <w:rPr>
          <w:rFonts w:ascii="宋体" w:hAnsi="宋体" w:eastAsia="宋体" w:cs="宋体"/>
          <w:b/>
          <w:bCs/>
          <w:color w:val="auto"/>
          <w:sz w:val="22"/>
          <w:highlight w:val="none"/>
        </w:rPr>
      </w:pPr>
    </w:p>
    <w:p w14:paraId="664D6CB4">
      <w:pPr>
        <w:spacing w:line="400" w:lineRule="exact"/>
        <w:jc w:val="left"/>
        <w:rPr>
          <w:rFonts w:ascii="宋体" w:hAnsi="宋体" w:eastAsia="宋体" w:cs="宋体"/>
          <w:b/>
          <w:bCs/>
          <w:color w:val="auto"/>
          <w:sz w:val="22"/>
          <w:highlight w:val="none"/>
        </w:rPr>
      </w:pPr>
    </w:p>
    <w:p w14:paraId="68B98DBB">
      <w:pPr>
        <w:spacing w:line="400" w:lineRule="exact"/>
        <w:jc w:val="left"/>
        <w:rPr>
          <w:rFonts w:ascii="宋体" w:hAnsi="宋体" w:eastAsia="宋体" w:cs="宋体"/>
          <w:b/>
          <w:bCs/>
          <w:color w:val="auto"/>
          <w:sz w:val="22"/>
          <w:highlight w:val="none"/>
        </w:rPr>
      </w:pPr>
    </w:p>
    <w:p w14:paraId="60A20B35">
      <w:pPr>
        <w:spacing w:line="400" w:lineRule="exact"/>
        <w:jc w:val="left"/>
        <w:rPr>
          <w:rFonts w:ascii="宋体" w:hAnsi="宋体" w:eastAsia="宋体" w:cs="宋体"/>
          <w:b/>
          <w:bCs/>
          <w:color w:val="auto"/>
          <w:sz w:val="22"/>
          <w:highlight w:val="none"/>
        </w:rPr>
      </w:pPr>
    </w:p>
    <w:p w14:paraId="27E08F42">
      <w:pPr>
        <w:spacing w:line="400" w:lineRule="exact"/>
        <w:jc w:val="left"/>
        <w:rPr>
          <w:rFonts w:ascii="宋体" w:hAnsi="宋体" w:eastAsia="宋体" w:cs="宋体"/>
          <w:b/>
          <w:bCs/>
          <w:color w:val="auto"/>
          <w:sz w:val="22"/>
          <w:highlight w:val="none"/>
        </w:rPr>
      </w:pPr>
    </w:p>
    <w:p w14:paraId="57D23C1B">
      <w:pPr>
        <w:spacing w:line="400" w:lineRule="exact"/>
        <w:jc w:val="left"/>
        <w:rPr>
          <w:rFonts w:ascii="宋体" w:hAnsi="宋体" w:eastAsia="宋体" w:cs="宋体"/>
          <w:b/>
          <w:bCs/>
          <w:color w:val="auto"/>
          <w:sz w:val="22"/>
          <w:highlight w:val="none"/>
        </w:rPr>
      </w:pPr>
    </w:p>
    <w:p w14:paraId="52646B14">
      <w:pPr>
        <w:spacing w:line="400" w:lineRule="exact"/>
        <w:jc w:val="left"/>
        <w:rPr>
          <w:rFonts w:ascii="宋体" w:hAnsi="宋体" w:eastAsia="宋体" w:cs="宋体"/>
          <w:b/>
          <w:bCs/>
          <w:color w:val="auto"/>
          <w:sz w:val="22"/>
          <w:highlight w:val="none"/>
        </w:rPr>
      </w:pPr>
    </w:p>
    <w:p w14:paraId="4EF5B826">
      <w:pPr>
        <w:spacing w:line="400" w:lineRule="exact"/>
        <w:jc w:val="left"/>
        <w:rPr>
          <w:rFonts w:ascii="宋体" w:hAnsi="宋体" w:eastAsia="宋体" w:cs="宋体"/>
          <w:b/>
          <w:bCs/>
          <w:color w:val="auto"/>
          <w:sz w:val="22"/>
          <w:highlight w:val="none"/>
        </w:rPr>
      </w:pPr>
    </w:p>
    <w:p w14:paraId="4F117D55">
      <w:pPr>
        <w:spacing w:line="400" w:lineRule="exact"/>
        <w:jc w:val="left"/>
        <w:rPr>
          <w:rFonts w:ascii="宋体" w:hAnsi="宋体" w:eastAsia="宋体" w:cs="宋体"/>
          <w:b/>
          <w:bCs/>
          <w:color w:val="auto"/>
          <w:sz w:val="22"/>
          <w:highlight w:val="none"/>
        </w:rPr>
      </w:pPr>
    </w:p>
    <w:p w14:paraId="679A3D1B">
      <w:pPr>
        <w:spacing w:line="400" w:lineRule="exact"/>
        <w:jc w:val="left"/>
        <w:rPr>
          <w:rFonts w:ascii="宋体" w:hAnsi="宋体" w:eastAsia="宋体" w:cs="宋体"/>
          <w:b/>
          <w:bCs/>
          <w:color w:val="auto"/>
          <w:sz w:val="22"/>
          <w:highlight w:val="none"/>
        </w:rPr>
      </w:pPr>
    </w:p>
    <w:p w14:paraId="16C86B5D">
      <w:pPr>
        <w:spacing w:line="400" w:lineRule="exact"/>
        <w:jc w:val="left"/>
        <w:rPr>
          <w:rFonts w:ascii="宋体" w:hAnsi="宋体" w:eastAsia="宋体" w:cs="宋体"/>
          <w:b/>
          <w:bCs/>
          <w:color w:val="auto"/>
          <w:sz w:val="22"/>
          <w:highlight w:val="none"/>
        </w:rPr>
      </w:pPr>
    </w:p>
    <w:p w14:paraId="5F291881">
      <w:pPr>
        <w:spacing w:line="400" w:lineRule="exact"/>
        <w:jc w:val="left"/>
        <w:rPr>
          <w:rFonts w:ascii="宋体" w:hAnsi="宋体" w:eastAsia="宋体" w:cs="宋体"/>
          <w:b/>
          <w:bCs/>
          <w:color w:val="auto"/>
          <w:sz w:val="22"/>
          <w:highlight w:val="none"/>
        </w:rPr>
      </w:pPr>
    </w:p>
    <w:bookmarkEnd w:id="119"/>
    <w:p w14:paraId="0F8005E9">
      <w:pPr>
        <w:spacing w:line="400" w:lineRule="exact"/>
        <w:jc w:val="left"/>
        <w:rPr>
          <w:rFonts w:ascii="宋体" w:hAnsi="宋体" w:eastAsia="宋体" w:cs="宋体"/>
          <w:b/>
          <w:bCs/>
          <w:color w:val="auto"/>
          <w:sz w:val="22"/>
          <w:highlight w:val="none"/>
        </w:rPr>
      </w:pPr>
    </w:p>
    <w:p w14:paraId="5461F775">
      <w:pPr>
        <w:overflowPunct w:val="0"/>
        <w:spacing w:before="100" w:beforeAutospacing="1" w:after="100" w:afterAutospacing="1" w:line="440" w:lineRule="exact"/>
        <w:jc w:val="left"/>
        <w:outlineLvl w:val="0"/>
        <w:rPr>
          <w:color w:val="auto"/>
          <w:highlight w:val="none"/>
        </w:rPr>
        <w:sectPr>
          <w:pgSz w:w="11906" w:h="16838"/>
          <w:pgMar w:top="1134" w:right="1134" w:bottom="1134" w:left="1134" w:header="851" w:footer="851" w:gutter="0"/>
          <w:pgNumType w:fmt="decimal"/>
          <w:cols w:space="720" w:num="1"/>
          <w:docGrid w:linePitch="316" w:charSpace="855"/>
        </w:sectPr>
      </w:pPr>
      <w:bookmarkStart w:id="122" w:name="_Toc103191870"/>
      <w:bookmarkEnd w:id="122"/>
      <w:bookmarkStart w:id="123" w:name="_Toc15124"/>
      <w:bookmarkEnd w:id="123"/>
      <w:bookmarkStart w:id="124" w:name="_Toc103191992"/>
      <w:bookmarkEnd w:id="124"/>
      <w:bookmarkStart w:id="125" w:name="_Toc27186"/>
      <w:bookmarkEnd w:id="125"/>
    </w:p>
    <w:p w14:paraId="77DED492">
      <w:pPr>
        <w:overflowPunct w:val="0"/>
        <w:spacing w:before="100" w:beforeAutospacing="1" w:after="100" w:afterAutospacing="1" w:line="440" w:lineRule="exact"/>
        <w:jc w:val="left"/>
        <w:outlineLvl w:val="0"/>
        <w:rPr>
          <w:rFonts w:hint="eastAsia"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五</w:t>
      </w:r>
    </w:p>
    <w:p w14:paraId="76BC8899">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供应商基本</w:t>
      </w:r>
      <w:r>
        <w:rPr>
          <w:rFonts w:ascii="宋体" w:hAnsi="宋体"/>
          <w:b/>
          <w:color w:val="auto"/>
          <w:sz w:val="44"/>
          <w:szCs w:val="44"/>
          <w:highlight w:val="none"/>
        </w:rPr>
        <w:t>情况</w:t>
      </w:r>
      <w:r>
        <w:rPr>
          <w:rFonts w:hint="eastAsia" w:ascii="宋体" w:hAnsi="宋体"/>
          <w:b/>
          <w:color w:val="auto"/>
          <w:sz w:val="44"/>
          <w:szCs w:val="44"/>
          <w:highlight w:val="none"/>
        </w:rPr>
        <w:t>说明（后附生产线证明资料）</w:t>
      </w:r>
    </w:p>
    <w:p w14:paraId="7A5131AA">
      <w:pPr>
        <w:spacing w:line="360" w:lineRule="auto"/>
        <w:rPr>
          <w:rFonts w:hint="eastAsia" w:ascii="宋体" w:hAnsi="宋体" w:cs="宋体"/>
          <w:b/>
          <w:color w:val="auto"/>
          <w:sz w:val="22"/>
          <w:szCs w:val="22"/>
          <w:highlight w:val="none"/>
        </w:rPr>
      </w:pPr>
      <w:r>
        <w:rPr>
          <w:rFonts w:hint="eastAsia" w:ascii="宋体" w:hAnsi="宋体" w:cs="宋体"/>
          <w:b/>
          <w:color w:val="auto"/>
          <w:sz w:val="22"/>
          <w:szCs w:val="22"/>
          <w:highlight w:val="none"/>
        </w:rPr>
        <w:t>1、名称及概况：</w:t>
      </w:r>
    </w:p>
    <w:p w14:paraId="0CC4F5E2">
      <w:pPr>
        <w:spacing w:line="360" w:lineRule="auto"/>
        <w:rPr>
          <w:rFonts w:hint="eastAsia" w:ascii="宋体" w:hAnsi="宋体" w:cs="宋体"/>
          <w:color w:val="auto"/>
          <w:w w:val="90"/>
          <w:sz w:val="22"/>
          <w:szCs w:val="22"/>
          <w:highlight w:val="none"/>
        </w:rPr>
      </w:pPr>
      <w:r>
        <w:rPr>
          <w:rFonts w:hint="eastAsia" w:ascii="宋体" w:hAnsi="宋体" w:cs="宋体"/>
          <w:color w:val="auto"/>
          <w:sz w:val="22"/>
          <w:szCs w:val="22"/>
          <w:highlight w:val="none"/>
        </w:rPr>
        <w:t>（1）供应商名称：</w:t>
      </w:r>
      <w:r>
        <w:rPr>
          <w:rFonts w:hint="eastAsia" w:ascii="宋体" w:hAnsi="宋体" w:cs="宋体"/>
          <w:color w:val="auto"/>
          <w:w w:val="90"/>
          <w:sz w:val="22"/>
          <w:szCs w:val="22"/>
          <w:highlight w:val="none"/>
        </w:rPr>
        <w:t>______________________________________________________</w:t>
      </w:r>
    </w:p>
    <w:p w14:paraId="4C34B5B5">
      <w:pPr>
        <w:spacing w:line="360" w:lineRule="auto"/>
        <w:rPr>
          <w:rFonts w:hint="eastAsia" w:ascii="宋体" w:hAnsi="宋体" w:cs="宋体"/>
          <w:color w:val="auto"/>
          <w:sz w:val="22"/>
          <w:szCs w:val="22"/>
          <w:highlight w:val="none"/>
        </w:rPr>
      </w:pPr>
      <w:r>
        <w:rPr>
          <w:rFonts w:hint="eastAsia" w:ascii="宋体" w:hAnsi="宋体" w:cs="宋体"/>
          <w:color w:val="auto"/>
          <w:w w:val="90"/>
          <w:sz w:val="22"/>
          <w:szCs w:val="22"/>
          <w:highlight w:val="none"/>
        </w:rPr>
        <w:t>（2）</w:t>
      </w:r>
      <w:r>
        <w:rPr>
          <w:rFonts w:hint="eastAsia" w:ascii="宋体" w:hAnsi="宋体" w:cs="宋体"/>
          <w:color w:val="auto"/>
          <w:w w:val="100"/>
          <w:sz w:val="22"/>
          <w:szCs w:val="22"/>
          <w:highlight w:val="none"/>
        </w:rPr>
        <w:t>法定代表人姓名：</w:t>
      </w:r>
      <w:r>
        <w:rPr>
          <w:rFonts w:hint="eastAsia" w:ascii="宋体" w:hAnsi="宋体" w:cs="宋体"/>
          <w:color w:val="auto"/>
          <w:w w:val="90"/>
          <w:sz w:val="22"/>
          <w:szCs w:val="22"/>
          <w:highlight w:val="none"/>
        </w:rPr>
        <w:t>_____________________________________________________________</w:t>
      </w:r>
    </w:p>
    <w:p w14:paraId="5B5FFC0B">
      <w:pPr>
        <w:spacing w:line="360" w:lineRule="auto"/>
        <w:rPr>
          <w:rFonts w:hint="eastAsia" w:ascii="宋体" w:hAnsi="宋体" w:cs="宋体"/>
          <w:color w:val="auto"/>
          <w:w w:val="90"/>
          <w:sz w:val="22"/>
          <w:szCs w:val="22"/>
          <w:highlight w:val="none"/>
        </w:rPr>
      </w:pPr>
      <w:r>
        <w:rPr>
          <w:rFonts w:hint="eastAsia" w:ascii="宋体" w:hAnsi="宋体" w:cs="宋体"/>
          <w:color w:val="auto"/>
          <w:sz w:val="22"/>
          <w:szCs w:val="22"/>
          <w:highlight w:val="none"/>
        </w:rPr>
        <w:t>（</w:t>
      </w:r>
      <w:r>
        <w:rPr>
          <w:rFonts w:hint="eastAsia" w:ascii="宋体" w:hAnsi="宋体" w:eastAsia="宋体" w:cs="宋体"/>
          <w:color w:val="auto"/>
          <w:sz w:val="22"/>
          <w:szCs w:val="22"/>
          <w:highlight w:val="none"/>
          <w:lang w:eastAsia="zh-CN"/>
        </w:rPr>
        <w:t>3</w:t>
      </w:r>
      <w:r>
        <w:rPr>
          <w:rFonts w:hint="eastAsia" w:ascii="宋体" w:hAnsi="宋体" w:cs="宋体"/>
          <w:color w:val="auto"/>
          <w:sz w:val="22"/>
          <w:szCs w:val="22"/>
          <w:highlight w:val="none"/>
        </w:rPr>
        <w:t>）单位地址：</w:t>
      </w:r>
      <w:r>
        <w:rPr>
          <w:rFonts w:hint="eastAsia" w:ascii="宋体" w:hAnsi="宋体" w:cs="宋体"/>
          <w:color w:val="auto"/>
          <w:w w:val="90"/>
          <w:sz w:val="22"/>
          <w:szCs w:val="22"/>
          <w:highlight w:val="none"/>
        </w:rPr>
        <w:t>___________________________________________________________________</w:t>
      </w:r>
    </w:p>
    <w:p w14:paraId="1ADD5984">
      <w:pPr>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w:t>
      </w:r>
      <w:r>
        <w:rPr>
          <w:rFonts w:hint="eastAsia" w:ascii="宋体" w:hAnsi="宋体" w:eastAsia="宋体" w:cs="宋体"/>
          <w:color w:val="auto"/>
          <w:sz w:val="22"/>
          <w:szCs w:val="22"/>
          <w:highlight w:val="none"/>
          <w:lang w:eastAsia="zh-CN"/>
        </w:rPr>
        <w:t>4</w:t>
      </w:r>
      <w:r>
        <w:rPr>
          <w:rFonts w:hint="eastAsia" w:ascii="宋体" w:hAnsi="宋体" w:cs="宋体"/>
          <w:color w:val="auto"/>
          <w:sz w:val="22"/>
          <w:szCs w:val="22"/>
          <w:highlight w:val="none"/>
        </w:rPr>
        <w:t>）单位传真/电话号码：</w:t>
      </w:r>
      <w:r>
        <w:rPr>
          <w:rFonts w:hint="eastAsia" w:ascii="宋体" w:hAnsi="宋体" w:cs="宋体"/>
          <w:color w:val="auto"/>
          <w:w w:val="90"/>
          <w:sz w:val="22"/>
          <w:szCs w:val="22"/>
          <w:highlight w:val="none"/>
        </w:rPr>
        <w:t>________________________________________________________</w:t>
      </w:r>
    </w:p>
    <w:p w14:paraId="7790E5FB">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eastAsia="宋体" w:cs="宋体"/>
          <w:color w:val="auto"/>
          <w:sz w:val="22"/>
          <w:szCs w:val="22"/>
          <w:highlight w:val="none"/>
          <w:lang w:eastAsia="zh-CN"/>
        </w:rPr>
        <w:t>5</w:t>
      </w:r>
      <w:r>
        <w:rPr>
          <w:rFonts w:hint="eastAsia" w:ascii="宋体" w:hAnsi="宋体" w:cs="宋体"/>
          <w:color w:val="auto"/>
          <w:sz w:val="22"/>
          <w:szCs w:val="22"/>
          <w:highlight w:val="none"/>
        </w:rPr>
        <w:t>）成立或工商注册日期：</w:t>
      </w:r>
      <w:r>
        <w:rPr>
          <w:rFonts w:hint="eastAsia" w:ascii="宋体" w:hAnsi="宋体" w:cs="宋体"/>
          <w:color w:val="auto"/>
          <w:w w:val="90"/>
          <w:sz w:val="22"/>
          <w:szCs w:val="22"/>
          <w:highlight w:val="none"/>
        </w:rPr>
        <w:t>_________________________________________________</w:t>
      </w:r>
    </w:p>
    <w:p w14:paraId="7683BB98">
      <w:pPr>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w:t>
      </w:r>
      <w:r>
        <w:rPr>
          <w:rFonts w:hint="eastAsia" w:ascii="宋体" w:hAnsi="宋体" w:eastAsia="宋体" w:cs="宋体"/>
          <w:color w:val="auto"/>
          <w:sz w:val="22"/>
          <w:szCs w:val="22"/>
          <w:highlight w:val="none"/>
          <w:lang w:eastAsia="zh-CN"/>
        </w:rPr>
        <w:t>6</w:t>
      </w:r>
      <w:r>
        <w:rPr>
          <w:rFonts w:hint="eastAsia" w:ascii="宋体" w:hAnsi="宋体" w:cs="宋体"/>
          <w:color w:val="auto"/>
          <w:sz w:val="22"/>
          <w:szCs w:val="22"/>
          <w:highlight w:val="none"/>
        </w:rPr>
        <w:t>）实收资本：</w:t>
      </w:r>
      <w:r>
        <w:rPr>
          <w:rFonts w:hint="eastAsia" w:ascii="宋体" w:hAnsi="宋体" w:cs="宋体"/>
          <w:color w:val="auto"/>
          <w:w w:val="90"/>
          <w:sz w:val="22"/>
          <w:szCs w:val="22"/>
          <w:highlight w:val="none"/>
        </w:rPr>
        <w:t>____________________________________________________________</w:t>
      </w:r>
    </w:p>
    <w:p w14:paraId="5197C85B">
      <w:pPr>
        <w:spacing w:line="360" w:lineRule="auto"/>
        <w:rPr>
          <w:rFonts w:hint="eastAsia" w:ascii="宋体" w:hAnsi="宋体" w:cs="宋体"/>
          <w:color w:val="auto"/>
          <w:w w:val="90"/>
          <w:sz w:val="22"/>
          <w:szCs w:val="22"/>
          <w:highlight w:val="none"/>
        </w:rPr>
      </w:pPr>
      <w:r>
        <w:rPr>
          <w:rFonts w:hint="eastAsia" w:ascii="宋体" w:hAnsi="宋体" w:cs="宋体"/>
          <w:b/>
          <w:color w:val="auto"/>
          <w:sz w:val="22"/>
          <w:szCs w:val="22"/>
          <w:highlight w:val="none"/>
        </w:rPr>
        <w:t>2、企业现有的</w:t>
      </w:r>
      <w:r>
        <w:rPr>
          <w:rFonts w:hint="eastAsia" w:ascii="宋体" w:hAnsi="宋体" w:eastAsia="宋体" w:cs="宋体"/>
          <w:b/>
          <w:color w:val="auto"/>
          <w:sz w:val="22"/>
          <w:szCs w:val="22"/>
          <w:highlight w:val="none"/>
          <w:lang w:val="en-US" w:eastAsia="zh-CN"/>
        </w:rPr>
        <w:t>生产线</w:t>
      </w:r>
      <w:r>
        <w:rPr>
          <w:rFonts w:hint="eastAsia" w:ascii="宋体" w:hAnsi="宋体" w:cs="宋体"/>
          <w:b/>
          <w:color w:val="auto"/>
          <w:sz w:val="22"/>
          <w:szCs w:val="22"/>
          <w:highlight w:val="none"/>
        </w:rPr>
        <w:t>与本项目实施有关的设备情况</w:t>
      </w:r>
      <w:r>
        <w:rPr>
          <w:rFonts w:hint="eastAsia" w:ascii="宋体" w:hAnsi="宋体" w:eastAsia="宋体" w:cs="宋体"/>
          <w:color w:val="auto"/>
          <w:sz w:val="22"/>
          <w:szCs w:val="22"/>
          <w:highlight w:val="none"/>
          <w:lang w:eastAsia="zh-CN"/>
        </w:rPr>
        <w:t>：</w:t>
      </w:r>
      <w:r>
        <w:rPr>
          <w:rFonts w:hint="eastAsia" w:ascii="宋体" w:hAnsi="宋体" w:cs="宋体"/>
          <w:color w:val="auto"/>
          <w:w w:val="90"/>
          <w:sz w:val="22"/>
          <w:szCs w:val="22"/>
          <w:highlight w:val="none"/>
        </w:rPr>
        <w:t>_________________________</w:t>
      </w:r>
    </w:p>
    <w:p w14:paraId="1D6A3BF6">
      <w:pPr>
        <w:spacing w:line="360" w:lineRule="auto"/>
        <w:rPr>
          <w:rFonts w:hint="eastAsia" w:ascii="宋体" w:hAnsi="宋体" w:cs="宋体"/>
          <w:color w:val="auto"/>
          <w:w w:val="90"/>
          <w:sz w:val="22"/>
          <w:szCs w:val="22"/>
          <w:highlight w:val="none"/>
        </w:rPr>
      </w:pPr>
      <w:r>
        <w:rPr>
          <w:rFonts w:hint="eastAsia" w:ascii="宋体" w:hAnsi="宋体" w:cs="宋体"/>
          <w:b/>
          <w:color w:val="auto"/>
          <w:sz w:val="22"/>
          <w:szCs w:val="22"/>
          <w:highlight w:val="none"/>
        </w:rPr>
        <w:t>3、企业现有的与本项目实施有关的专业技术人员情况：</w:t>
      </w:r>
      <w:r>
        <w:rPr>
          <w:rFonts w:hint="eastAsia" w:ascii="宋体" w:hAnsi="宋体" w:cs="宋体"/>
          <w:color w:val="auto"/>
          <w:w w:val="90"/>
          <w:sz w:val="22"/>
          <w:szCs w:val="22"/>
          <w:highlight w:val="none"/>
        </w:rPr>
        <w:t xml:space="preserve"> ____________</w:t>
      </w:r>
    </w:p>
    <w:p w14:paraId="06B86DB4">
      <w:pPr>
        <w:spacing w:line="360" w:lineRule="auto"/>
        <w:rPr>
          <w:rFonts w:hint="eastAsia" w:ascii="宋体" w:hAnsi="宋体" w:cs="宋体"/>
          <w:color w:val="auto"/>
          <w:sz w:val="22"/>
          <w:szCs w:val="22"/>
          <w:highlight w:val="none"/>
        </w:rPr>
      </w:pPr>
      <w:r>
        <w:rPr>
          <w:rFonts w:hint="eastAsia" w:ascii="宋体" w:hAnsi="宋体" w:cs="宋体"/>
          <w:color w:val="auto"/>
          <w:w w:val="90"/>
          <w:sz w:val="22"/>
          <w:szCs w:val="22"/>
          <w:highlight w:val="none"/>
        </w:rPr>
        <w:t>_____________________________________________________________________________</w:t>
      </w:r>
    </w:p>
    <w:p w14:paraId="1E0D789A">
      <w:pPr>
        <w:spacing w:line="360" w:lineRule="auto"/>
        <w:rPr>
          <w:rFonts w:hint="eastAsia" w:ascii="宋体" w:hAnsi="宋体" w:cs="宋体"/>
          <w:color w:val="auto"/>
          <w:sz w:val="22"/>
          <w:szCs w:val="22"/>
          <w:highlight w:val="none"/>
        </w:rPr>
      </w:pPr>
      <w:r>
        <w:rPr>
          <w:rFonts w:hint="eastAsia" w:ascii="宋体" w:hAnsi="宋体" w:cs="宋体"/>
          <w:b/>
          <w:color w:val="auto"/>
          <w:sz w:val="22"/>
          <w:szCs w:val="22"/>
          <w:highlight w:val="none"/>
        </w:rPr>
        <w:t>4、近三年的年营业总额</w:t>
      </w:r>
      <w:r>
        <w:rPr>
          <w:rFonts w:hint="eastAsia" w:ascii="宋体" w:hAnsi="宋体" w:cs="宋体"/>
          <w:color w:val="auto"/>
          <w:sz w:val="22"/>
          <w:szCs w:val="22"/>
          <w:highlight w:val="none"/>
        </w:rPr>
        <w:t>：</w:t>
      </w:r>
      <w:r>
        <w:rPr>
          <w:rFonts w:hint="eastAsia" w:ascii="宋体" w:hAnsi="宋体" w:cs="宋体"/>
          <w:color w:val="auto"/>
          <w:w w:val="90"/>
          <w:sz w:val="22"/>
          <w:szCs w:val="22"/>
          <w:highlight w:val="none"/>
        </w:rPr>
        <w:t>____________________________________</w:t>
      </w:r>
    </w:p>
    <w:p w14:paraId="2C2CF67D">
      <w:pPr>
        <w:spacing w:line="360" w:lineRule="auto"/>
        <w:ind w:firstLine="424" w:firstLineChars="19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我方承诺</w:t>
      </w:r>
      <w:r>
        <w:rPr>
          <w:rFonts w:hint="eastAsia" w:ascii="宋体" w:hAnsi="宋体" w:cs="宋体"/>
          <w:color w:val="auto"/>
          <w:sz w:val="22"/>
          <w:szCs w:val="22"/>
          <w:highlight w:val="none"/>
        </w:rPr>
        <w:t>上述声明是真实、正确的、并提供了全部能提供的资料和数据，我们同意遵照公开招标</w:t>
      </w:r>
      <w:r>
        <w:rPr>
          <w:rFonts w:hint="eastAsia" w:ascii="宋体" w:hAnsi="宋体" w:eastAsia="宋体" w:cs="宋体"/>
          <w:color w:val="auto"/>
          <w:sz w:val="22"/>
          <w:szCs w:val="22"/>
          <w:highlight w:val="none"/>
          <w:lang w:val="en-US" w:eastAsia="zh-CN"/>
        </w:rPr>
        <w:t>比选</w:t>
      </w:r>
      <w:r>
        <w:rPr>
          <w:rFonts w:hint="eastAsia" w:ascii="宋体" w:hAnsi="宋体" w:cs="宋体"/>
          <w:color w:val="auto"/>
          <w:sz w:val="22"/>
          <w:szCs w:val="22"/>
          <w:highlight w:val="none"/>
        </w:rPr>
        <w:t>文件要求出示有关证明文件。</w:t>
      </w:r>
    </w:p>
    <w:p w14:paraId="4567ECE8">
      <w:pPr>
        <w:spacing w:line="360" w:lineRule="auto"/>
        <w:ind w:firstLine="424" w:firstLineChars="193"/>
        <w:rPr>
          <w:rFonts w:hint="eastAsia" w:ascii="宋体" w:hAnsi="宋体" w:cs="宋体"/>
          <w:color w:val="auto"/>
          <w:sz w:val="22"/>
          <w:szCs w:val="22"/>
          <w:highlight w:val="none"/>
        </w:rPr>
      </w:pPr>
    </w:p>
    <w:p w14:paraId="7310A3A4">
      <w:pPr>
        <w:spacing w:line="400" w:lineRule="exact"/>
        <w:ind w:firstLine="663" w:firstLineChars="300"/>
        <w:rPr>
          <w:rFonts w:hint="eastAsia" w:ascii="宋体" w:hAnsi="宋体" w:cs="宋体"/>
          <w:b/>
          <w:color w:val="auto"/>
          <w:sz w:val="22"/>
          <w:szCs w:val="22"/>
          <w:highlight w:val="none"/>
        </w:rPr>
      </w:pPr>
      <w:r>
        <w:rPr>
          <w:rFonts w:hint="eastAsia" w:ascii="宋体" w:hAnsi="宋体" w:eastAsia="宋体" w:cs="宋体"/>
          <w:b/>
          <w:color w:val="auto"/>
          <w:sz w:val="22"/>
          <w:szCs w:val="22"/>
          <w:highlight w:val="none"/>
        </w:rPr>
        <w:t>投 标 人</w:t>
      </w:r>
      <w:r>
        <w:rPr>
          <w:rFonts w:hint="eastAsia" w:ascii="宋体" w:hAnsi="宋体" w:cs="宋体"/>
          <w:b/>
          <w:color w:val="auto"/>
          <w:sz w:val="22"/>
          <w:szCs w:val="22"/>
          <w:highlight w:val="none"/>
        </w:rPr>
        <w:t>（盖章）：</w:t>
      </w:r>
    </w:p>
    <w:p w14:paraId="115D06BD">
      <w:pPr>
        <w:spacing w:line="400" w:lineRule="exact"/>
        <w:ind w:firstLine="663" w:firstLineChars="300"/>
        <w:rPr>
          <w:rFonts w:hint="eastAsia" w:ascii="宋体" w:hAnsi="宋体" w:cs="宋体"/>
          <w:b/>
          <w:color w:val="auto"/>
          <w:sz w:val="22"/>
          <w:szCs w:val="22"/>
          <w:highlight w:val="none"/>
        </w:rPr>
      </w:pPr>
      <w:r>
        <w:rPr>
          <w:rFonts w:hint="eastAsia" w:ascii="宋体" w:hAnsi="宋体" w:eastAsia="宋体" w:cs="宋体"/>
          <w:b/>
          <w:color w:val="auto"/>
          <w:sz w:val="22"/>
          <w:szCs w:val="22"/>
          <w:highlight w:val="none"/>
        </w:rPr>
        <w:t>法定代表人（单位负责人）或其委托代理人：</w:t>
      </w:r>
      <w:r>
        <w:rPr>
          <w:rFonts w:hint="eastAsia" w:ascii="宋体" w:hAnsi="宋体" w:cs="宋体"/>
          <w:b/>
          <w:color w:val="auto"/>
          <w:sz w:val="22"/>
          <w:szCs w:val="22"/>
          <w:highlight w:val="none"/>
        </w:rPr>
        <w:t>（签字或盖章）：</w:t>
      </w:r>
    </w:p>
    <w:p w14:paraId="087EB019">
      <w:pPr>
        <w:spacing w:line="400" w:lineRule="exact"/>
        <w:ind w:firstLine="663" w:firstLineChars="300"/>
        <w:rPr>
          <w:rFonts w:hint="default" w:ascii="宋体" w:hAnsi="宋体" w:cs="宋体"/>
          <w:color w:val="auto"/>
          <w:sz w:val="22"/>
          <w:szCs w:val="22"/>
          <w:highlight w:val="none"/>
        </w:rPr>
      </w:pPr>
      <w:r>
        <w:rPr>
          <w:rFonts w:hint="eastAsia" w:ascii="宋体" w:hAnsi="宋体" w:cs="宋体"/>
          <w:b/>
          <w:color w:val="auto"/>
          <w:sz w:val="22"/>
          <w:szCs w:val="22"/>
          <w:highlight w:val="none"/>
        </w:rPr>
        <w:t>日    期：</w:t>
      </w:r>
      <w:r>
        <w:rPr>
          <w:rFonts w:hint="eastAsia" w:ascii="宋体" w:hAnsi="宋体" w:eastAsia="宋体" w:cs="宋体"/>
          <w:b/>
          <w:color w:val="auto"/>
          <w:sz w:val="22"/>
          <w:szCs w:val="22"/>
          <w:highlight w:val="none"/>
          <w:lang w:val="en-US" w:eastAsia="zh-CN"/>
        </w:rPr>
        <w:t xml:space="preserve">   年   月   日  </w:t>
      </w:r>
    </w:p>
    <w:p w14:paraId="2E1C343A">
      <w:pPr>
        <w:overflowPunct w:val="0"/>
        <w:spacing w:before="100" w:beforeAutospacing="1" w:after="100" w:afterAutospacing="1" w:line="440" w:lineRule="exact"/>
        <w:jc w:val="left"/>
        <w:outlineLvl w:val="0"/>
        <w:rPr>
          <w:rFonts w:hint="eastAsia" w:ascii="宋体" w:hAnsi="宋体" w:eastAsia="宋体" w:cs="宋体"/>
          <w:b/>
          <w:bCs/>
          <w:color w:val="auto"/>
          <w:kern w:val="2"/>
          <w:sz w:val="22"/>
          <w:szCs w:val="22"/>
          <w:highlight w:val="none"/>
          <w:lang w:val="en-US" w:eastAsia="zh-CN"/>
        </w:rPr>
      </w:pPr>
    </w:p>
    <w:p w14:paraId="23A18B8D">
      <w:pPr>
        <w:overflowPunct w:val="0"/>
        <w:spacing w:before="100" w:beforeAutospacing="1" w:after="100" w:afterAutospacing="1" w:line="440" w:lineRule="exact"/>
        <w:jc w:val="left"/>
        <w:outlineLvl w:val="0"/>
        <w:rPr>
          <w:color w:val="auto"/>
          <w:highlight w:val="none"/>
        </w:rPr>
        <w:sectPr>
          <w:pgSz w:w="11906" w:h="16838"/>
          <w:pgMar w:top="1134" w:right="1134" w:bottom="1134" w:left="1134" w:header="851" w:footer="851" w:gutter="0"/>
          <w:pgNumType w:fmt="decimal"/>
          <w:cols w:space="720" w:num="1"/>
          <w:docGrid w:linePitch="316" w:charSpace="855"/>
        </w:sectPr>
      </w:pPr>
    </w:p>
    <w:p w14:paraId="53BCF9AC">
      <w:pPr>
        <w:overflowPunct w:val="0"/>
        <w:spacing w:before="100" w:beforeAutospacing="1" w:after="100" w:afterAutospacing="1" w:line="440" w:lineRule="exact"/>
        <w:jc w:val="left"/>
        <w:outlineLvl w:val="0"/>
        <w:rPr>
          <w:rFonts w:hint="default" w:ascii="宋体" w:hAnsi="宋体" w:eastAsia="宋体" w:cs="宋体"/>
          <w:b/>
          <w:bCs/>
          <w:color w:val="auto"/>
          <w:kern w:val="2"/>
          <w:sz w:val="22"/>
          <w:szCs w:val="22"/>
          <w:highlight w:val="none"/>
          <w:lang w:val="en-US" w:eastAsia="zh-CN"/>
        </w:rPr>
      </w:pPr>
      <w:r>
        <w:rPr>
          <w:rFonts w:hint="eastAsia" w:ascii="宋体" w:hAnsi="宋体" w:eastAsia="宋体" w:cs="宋体"/>
          <w:b/>
          <w:bCs/>
          <w:color w:val="auto"/>
          <w:kern w:val="2"/>
          <w:sz w:val="22"/>
          <w:szCs w:val="22"/>
          <w:highlight w:val="none"/>
          <w:lang w:val="en-US" w:eastAsia="zh-CN"/>
        </w:rPr>
        <w:t>附件六</w:t>
      </w:r>
    </w:p>
    <w:p w14:paraId="16D32D14">
      <w:pPr>
        <w:spacing w:line="420" w:lineRule="exact"/>
        <w:jc w:val="center"/>
        <w:rPr>
          <w:rFonts w:hint="eastAsia" w:ascii="宋体" w:hAnsi="宋体" w:eastAsia="宋体" w:cs="宋体"/>
          <w:b/>
          <w:bCs/>
          <w:color w:val="auto"/>
          <w:kern w:val="0"/>
          <w:sz w:val="32"/>
          <w:szCs w:val="32"/>
          <w:highlight w:val="none"/>
        </w:rPr>
      </w:pPr>
      <w:bookmarkStart w:id="126" w:name="_Toc522645684"/>
      <w:bookmarkStart w:id="127" w:name="_Toc518895422"/>
      <w:r>
        <w:rPr>
          <w:rFonts w:hint="eastAsia" w:ascii="宋体" w:hAnsi="宋体" w:eastAsia="宋体" w:cs="宋体"/>
          <w:b/>
          <w:bCs/>
          <w:color w:val="auto"/>
          <w:kern w:val="0"/>
          <w:sz w:val="32"/>
          <w:szCs w:val="32"/>
          <w:highlight w:val="none"/>
        </w:rPr>
        <w:t>投标供应商履约及廉洁纪律承诺书</w:t>
      </w:r>
    </w:p>
    <w:p w14:paraId="79B0292F">
      <w:pPr>
        <w:spacing w:line="420" w:lineRule="exact"/>
        <w:jc w:val="center"/>
        <w:rPr>
          <w:rFonts w:ascii="宋体" w:hAnsi="宋体" w:eastAsia="宋体" w:cs="宋体"/>
          <w:color w:val="auto"/>
          <w:sz w:val="36"/>
          <w:szCs w:val="36"/>
          <w:highlight w:val="none"/>
        </w:rPr>
      </w:pPr>
    </w:p>
    <w:p w14:paraId="6E69B27C">
      <w:pPr>
        <w:spacing w:line="420" w:lineRule="exact"/>
        <w:ind w:firstLine="440" w:firstLineChars="200"/>
        <w:jc w:val="left"/>
        <w:rPr>
          <w:rFonts w:ascii="宋体" w:hAnsi="宋体" w:eastAsia="宋体" w:cs="宋体"/>
          <w:color w:val="auto"/>
          <w:sz w:val="22"/>
          <w:highlight w:val="none"/>
        </w:rPr>
      </w:pPr>
      <w:r>
        <w:rPr>
          <w:rFonts w:hint="eastAsia" w:ascii="宋体" w:hAnsi="宋体" w:eastAsia="宋体" w:cs="宋体"/>
          <w:color w:val="auto"/>
          <w:sz w:val="22"/>
          <w:highlight w:val="none"/>
        </w:rPr>
        <w:t>为了切实规范国企采购项目招投标工作，有效遏制不公平竞争和违规违纪问题的发生，确保投标工作的公平、公正、公开，现就投标工作及履约廉洁纪律等相关要求，特向贵单位承诺如下:</w:t>
      </w:r>
    </w:p>
    <w:p w14:paraId="18ECF7F2">
      <w:pPr>
        <w:spacing w:line="420" w:lineRule="exact"/>
        <w:ind w:firstLine="440" w:firstLineChars="200"/>
        <w:jc w:val="left"/>
        <w:rPr>
          <w:rFonts w:ascii="宋体" w:hAnsi="宋体" w:eastAsia="宋体" w:cs="宋体"/>
          <w:color w:val="auto"/>
          <w:sz w:val="22"/>
          <w:highlight w:val="none"/>
        </w:rPr>
      </w:pPr>
      <w:r>
        <w:rPr>
          <w:rFonts w:hint="eastAsia" w:ascii="宋体" w:hAnsi="宋体" w:eastAsia="宋体" w:cs="宋体"/>
          <w:color w:val="auto"/>
          <w:sz w:val="22"/>
          <w:highlight w:val="none"/>
        </w:rPr>
        <w:t>一、自觉遵守国家法律法规及贵单位有关廉洁纪律等要求；</w:t>
      </w:r>
    </w:p>
    <w:p w14:paraId="633C1EED">
      <w:pPr>
        <w:spacing w:line="420" w:lineRule="exact"/>
        <w:ind w:firstLine="440" w:firstLineChars="200"/>
        <w:jc w:val="left"/>
        <w:rPr>
          <w:rFonts w:ascii="宋体" w:hAnsi="宋体" w:eastAsia="宋体" w:cs="宋体"/>
          <w:color w:val="auto"/>
          <w:sz w:val="22"/>
          <w:highlight w:val="none"/>
        </w:rPr>
      </w:pPr>
      <w:r>
        <w:rPr>
          <w:rFonts w:hint="eastAsia" w:ascii="宋体" w:hAnsi="宋体" w:eastAsia="宋体" w:cs="宋体"/>
          <w:color w:val="auto"/>
          <w:sz w:val="22"/>
          <w:highlight w:val="none"/>
        </w:rPr>
        <w:t>二、不通过亲属、领导、朋友等任何社会关系，向招标单位管理人员、代理机构人员、评标专家请托干预招投标事项；不使用不正当手段妨碍、排挤其它投标供应商或串通投标；</w:t>
      </w:r>
    </w:p>
    <w:p w14:paraId="165A6592">
      <w:pPr>
        <w:spacing w:line="420" w:lineRule="exact"/>
        <w:ind w:firstLine="440" w:firstLineChars="200"/>
        <w:jc w:val="left"/>
        <w:rPr>
          <w:rFonts w:ascii="宋体" w:hAnsi="宋体" w:eastAsia="宋体" w:cs="宋体"/>
          <w:color w:val="auto"/>
          <w:sz w:val="22"/>
          <w:highlight w:val="none"/>
        </w:rPr>
      </w:pPr>
      <w:r>
        <w:rPr>
          <w:rFonts w:hint="eastAsia" w:ascii="宋体" w:hAnsi="宋体" w:eastAsia="宋体" w:cs="宋体"/>
          <w:color w:val="auto"/>
          <w:sz w:val="22"/>
          <w:highlight w:val="none"/>
        </w:rPr>
        <w:t>三、按照采购文件规定的方式进行投标，不隐瞒本单位投标资质的真实情况，投标资质符合规定；</w:t>
      </w:r>
    </w:p>
    <w:p w14:paraId="755D1C92">
      <w:pPr>
        <w:spacing w:line="420" w:lineRule="exact"/>
        <w:ind w:firstLine="440" w:firstLineChars="200"/>
        <w:jc w:val="left"/>
        <w:rPr>
          <w:rFonts w:ascii="宋体" w:hAnsi="宋体" w:eastAsia="宋体" w:cs="宋体"/>
          <w:color w:val="auto"/>
          <w:sz w:val="22"/>
          <w:highlight w:val="none"/>
        </w:rPr>
      </w:pPr>
      <w:r>
        <w:rPr>
          <w:rFonts w:hint="eastAsia" w:ascii="宋体" w:hAnsi="宋体" w:eastAsia="宋体" w:cs="宋体"/>
          <w:color w:val="auto"/>
          <w:sz w:val="22"/>
          <w:highlight w:val="none"/>
        </w:rPr>
        <w:t>四、保证不出借资质不挂靠单位，不以其他人名义投标或以其他方式弄虚作假，骗取中标；中标后不随意变更项目经理等关键岗位人员；</w:t>
      </w:r>
    </w:p>
    <w:p w14:paraId="123C8848">
      <w:pPr>
        <w:spacing w:line="420" w:lineRule="exact"/>
        <w:ind w:firstLine="440" w:firstLineChars="200"/>
        <w:jc w:val="left"/>
        <w:rPr>
          <w:rFonts w:ascii="宋体" w:hAnsi="宋体" w:eastAsia="宋体" w:cs="宋体"/>
          <w:color w:val="auto"/>
          <w:sz w:val="22"/>
          <w:highlight w:val="none"/>
        </w:rPr>
      </w:pPr>
      <w:r>
        <w:rPr>
          <w:rFonts w:hint="eastAsia" w:ascii="宋体" w:hAnsi="宋体" w:eastAsia="宋体" w:cs="宋体"/>
          <w:color w:val="auto"/>
          <w:sz w:val="22"/>
          <w:highlight w:val="none"/>
        </w:rPr>
        <w:t>五、不以任何方式向采购人员、代理机构或者评标成员及亲友赠送礼品、礼金及有价证券，宴请或邀请参加高档娱乐消费、旅游等活动，报销各种票据及费用；不进行可能影响招标公平、公正的任何活动；</w:t>
      </w:r>
    </w:p>
    <w:p w14:paraId="235F9D31">
      <w:pPr>
        <w:spacing w:line="420" w:lineRule="exact"/>
        <w:ind w:firstLine="440" w:firstLineChars="200"/>
        <w:jc w:val="left"/>
        <w:rPr>
          <w:rFonts w:ascii="宋体" w:hAnsi="宋体" w:eastAsia="宋体" w:cs="宋体"/>
          <w:color w:val="auto"/>
          <w:sz w:val="22"/>
          <w:highlight w:val="none"/>
        </w:rPr>
      </w:pPr>
      <w:r>
        <w:rPr>
          <w:rFonts w:hint="eastAsia" w:ascii="宋体" w:hAnsi="宋体" w:eastAsia="宋体" w:cs="宋体"/>
          <w:color w:val="auto"/>
          <w:sz w:val="22"/>
          <w:highlight w:val="none"/>
        </w:rPr>
        <w:t>六、项目中标后不进行违法转包、分包，在施工管理中不以任何形式贿赂业主、监理、检测等参建各方人员；</w:t>
      </w:r>
    </w:p>
    <w:p w14:paraId="0AD0CBE2">
      <w:pPr>
        <w:spacing w:line="420" w:lineRule="exact"/>
        <w:ind w:firstLine="440" w:firstLineChars="200"/>
        <w:jc w:val="left"/>
        <w:rPr>
          <w:rFonts w:ascii="宋体" w:hAnsi="宋体" w:eastAsia="宋体" w:cs="宋体"/>
          <w:color w:val="auto"/>
          <w:sz w:val="22"/>
          <w:highlight w:val="none"/>
        </w:rPr>
      </w:pPr>
      <w:r>
        <w:rPr>
          <w:rFonts w:hint="eastAsia" w:ascii="宋体" w:hAnsi="宋体" w:eastAsia="宋体" w:cs="宋体"/>
          <w:color w:val="auto"/>
          <w:sz w:val="22"/>
          <w:highlight w:val="none"/>
        </w:rPr>
        <w:t>七、若违反上述承诺任何条款，或违反有关法律法规以及贵公司有关廉政纪律规定，我方自愿放弃在贵公司的所承揽的业务，并承担30万元或中标合同价3%的违约金（两者取高值）及一切法律责任；</w:t>
      </w:r>
    </w:p>
    <w:p w14:paraId="19CAC2A6">
      <w:pPr>
        <w:spacing w:line="420" w:lineRule="exact"/>
        <w:ind w:firstLine="440" w:firstLineChars="200"/>
        <w:jc w:val="left"/>
        <w:rPr>
          <w:rFonts w:ascii="宋体" w:hAnsi="宋体" w:eastAsia="宋体" w:cs="宋体"/>
          <w:color w:val="auto"/>
          <w:sz w:val="22"/>
          <w:highlight w:val="none"/>
        </w:rPr>
      </w:pPr>
      <w:r>
        <w:rPr>
          <w:rFonts w:hint="eastAsia" w:ascii="宋体" w:hAnsi="宋体" w:eastAsia="宋体" w:cs="宋体"/>
          <w:color w:val="auto"/>
          <w:sz w:val="22"/>
          <w:highlight w:val="none"/>
        </w:rPr>
        <w:t>八、我方自愿将本承诺书作为投标文件及合同的附件，具有同等的法律效力；本承诺书自签署之日起生效。</w:t>
      </w:r>
    </w:p>
    <w:p w14:paraId="7F24D6EF">
      <w:pPr>
        <w:spacing w:line="420" w:lineRule="exact"/>
        <w:ind w:firstLine="440" w:firstLineChars="200"/>
        <w:jc w:val="left"/>
        <w:rPr>
          <w:rFonts w:ascii="宋体" w:hAnsi="宋体" w:eastAsia="宋体" w:cs="宋体"/>
          <w:color w:val="auto"/>
          <w:sz w:val="22"/>
          <w:highlight w:val="none"/>
        </w:rPr>
      </w:pPr>
    </w:p>
    <w:p w14:paraId="7A6C2610">
      <w:pPr>
        <w:wordWrap w:val="0"/>
        <w:spacing w:line="420" w:lineRule="exact"/>
        <w:ind w:firstLine="440" w:firstLineChars="200"/>
        <w:jc w:val="right"/>
        <w:rPr>
          <w:rFonts w:ascii="宋体" w:hAnsi="宋体" w:eastAsia="宋体" w:cs="宋体"/>
          <w:color w:val="auto"/>
          <w:sz w:val="22"/>
          <w:highlight w:val="none"/>
        </w:rPr>
      </w:pPr>
      <w:r>
        <w:rPr>
          <w:rFonts w:hint="eastAsia" w:ascii="宋体" w:hAnsi="宋体" w:eastAsia="宋体" w:cs="宋体"/>
          <w:color w:val="auto"/>
          <w:sz w:val="22"/>
          <w:highlight w:val="none"/>
        </w:rPr>
        <w:t xml:space="preserve">投标供应商(公章):               </w:t>
      </w:r>
    </w:p>
    <w:p w14:paraId="1F004B78">
      <w:pPr>
        <w:wordWrap w:val="0"/>
        <w:spacing w:line="420" w:lineRule="exact"/>
        <w:ind w:firstLine="440" w:firstLineChars="200"/>
        <w:jc w:val="right"/>
        <w:rPr>
          <w:rFonts w:ascii="宋体" w:hAnsi="宋体" w:eastAsia="宋体" w:cs="宋体"/>
          <w:color w:val="auto"/>
          <w:sz w:val="22"/>
          <w:highlight w:val="none"/>
        </w:rPr>
      </w:pPr>
      <w:r>
        <w:rPr>
          <w:rFonts w:hint="eastAsia" w:ascii="宋体" w:hAnsi="宋体" w:eastAsia="宋体" w:cs="宋体"/>
          <w:color w:val="auto"/>
          <w:sz w:val="22"/>
          <w:highlight w:val="none"/>
        </w:rPr>
        <w:t>法定代表人或授权代理人</w:t>
      </w:r>
      <w:r>
        <w:rPr>
          <w:rFonts w:hint="eastAsia" w:ascii="宋体" w:hAnsi="宋体" w:eastAsia="宋体" w:cs="宋体"/>
          <w:color w:val="auto"/>
          <w:kern w:val="0"/>
          <w:sz w:val="22"/>
          <w:highlight w:val="none"/>
        </w:rPr>
        <w:t>（签字</w:t>
      </w:r>
      <w:r>
        <w:rPr>
          <w:rFonts w:hint="eastAsia" w:ascii="宋体" w:hAnsi="宋体" w:eastAsia="宋体" w:cs="宋体"/>
          <w:color w:val="auto"/>
          <w:kern w:val="0"/>
          <w:sz w:val="22"/>
          <w:highlight w:val="none"/>
          <w:lang w:eastAsia="zh-CN"/>
        </w:rPr>
        <w:t>或盖章</w:t>
      </w:r>
      <w:r>
        <w:rPr>
          <w:rFonts w:hint="eastAsia" w:ascii="宋体" w:hAnsi="宋体" w:eastAsia="宋体" w:cs="宋体"/>
          <w:color w:val="auto"/>
          <w:kern w:val="0"/>
          <w:sz w:val="22"/>
          <w:highlight w:val="none"/>
        </w:rPr>
        <w:t>）</w:t>
      </w:r>
      <w:r>
        <w:rPr>
          <w:rFonts w:hint="eastAsia" w:ascii="宋体" w:hAnsi="宋体" w:eastAsia="宋体" w:cs="宋体"/>
          <w:color w:val="auto"/>
          <w:sz w:val="22"/>
          <w:highlight w:val="none"/>
        </w:rPr>
        <w:t xml:space="preserve">:               </w:t>
      </w:r>
    </w:p>
    <w:p w14:paraId="6FEDD3DC">
      <w:pPr>
        <w:spacing w:line="420" w:lineRule="exact"/>
        <w:jc w:val="right"/>
        <w:rPr>
          <w:rFonts w:ascii="宋体" w:hAnsi="宋体" w:eastAsia="宋体" w:cs="宋体"/>
          <w:color w:val="auto"/>
          <w:sz w:val="22"/>
          <w:highlight w:val="none"/>
        </w:rPr>
      </w:pPr>
      <w:r>
        <w:rPr>
          <w:rFonts w:hint="eastAsia" w:ascii="宋体" w:hAnsi="宋体" w:eastAsia="宋体" w:cs="宋体"/>
          <w:color w:val="auto"/>
          <w:sz w:val="22"/>
          <w:highlight w:val="none"/>
        </w:rPr>
        <w:t>日期:    年   月   日</w:t>
      </w:r>
      <w:bookmarkEnd w:id="86"/>
      <w:bookmarkEnd w:id="87"/>
      <w:bookmarkEnd w:id="126"/>
      <w:bookmarkEnd w:id="127"/>
    </w:p>
    <w:p w14:paraId="31C2A807">
      <w:pPr>
        <w:overflowPunct w:val="0"/>
        <w:spacing w:line="420" w:lineRule="exact"/>
        <w:ind w:firstLine="420"/>
        <w:rPr>
          <w:color w:val="auto"/>
          <w:highlight w:val="none"/>
        </w:rPr>
      </w:pPr>
    </w:p>
    <w:sectPr>
      <w:pgSz w:w="11906" w:h="16838"/>
      <w:pgMar w:top="1134" w:right="1134" w:bottom="1134" w:left="1134" w:header="851" w:footer="851" w:gutter="0"/>
      <w:pgNumType w:fmt="decimal"/>
      <w:cols w:space="720" w:num="1"/>
      <w:docGrid w:linePitch="316"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71136">
    <w:pPr>
      <w:pStyle w:val="6"/>
      <w:framePr w:wrap="around" w:vAnchor="text" w:hAnchor="margin" w:xAlign="center" w:y="1"/>
      <w:rPr>
        <w:rStyle w:val="23"/>
      </w:rPr>
    </w:pPr>
    <w:r>
      <w:fldChar w:fldCharType="begin"/>
    </w:r>
    <w:r>
      <w:rPr>
        <w:rStyle w:val="23"/>
      </w:rPr>
      <w:instrText xml:space="preserve">PAGE  </w:instrText>
    </w:r>
    <w:r>
      <w:fldChar w:fldCharType="separate"/>
    </w:r>
    <w:r>
      <w:rPr>
        <w:rStyle w:val="23"/>
      </w:rPr>
      <w:t>0</w:t>
    </w:r>
    <w:r>
      <w:fldChar w:fldCharType="end"/>
    </w:r>
  </w:p>
  <w:p w14:paraId="51CB204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5CEF">
    <w:pPr>
      <w:pStyle w:val="6"/>
      <w:framePr w:wrap="around" w:vAnchor="text" w:hAnchor="margin" w:xAlign="center" w:y="1"/>
      <w:rPr>
        <w:rStyle w:val="23"/>
      </w:rPr>
    </w:pPr>
  </w:p>
  <w:p w14:paraId="29F241F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D65E">
    <w:pPr>
      <w:pStyle w:val="6"/>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9CD82CF">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QoR1bEAQAAjwMAAA4AAABkcnMvZTJvRG9jLnhtbK1TzY7TMBC+I/EO&#10;lu80aUG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3fcO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QoR1bEAQAAjwMAAA4AAAAAAAAAAQAgAAAAHwEAAGRycy9lMm9Eb2MueG1s&#10;UEsFBgAAAAAGAAYAWQEAAFUFAAAAAA==&#10;">
              <v:fill on="f" focussize="0,0"/>
              <v:stroke on="f"/>
              <v:imagedata o:title=""/>
              <o:lock v:ext="edit" aspectratio="f"/>
              <v:textbox inset="0mm,0mm,0mm,0mm" style="mso-fit-shape-to-text:t;">
                <w:txbxContent>
                  <w:p w14:paraId="49CD82CF">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724D1">
    <w:pPr>
      <w:pStyle w:val="6"/>
      <w:framePr w:wrap="around" w:vAnchor="text" w:hAnchor="margin" w:xAlign="center" w:y="1"/>
      <w:rPr>
        <w:rStyle w:val="23"/>
      </w:rPr>
    </w:pPr>
  </w:p>
  <w:p w14:paraId="79C9FE5C">
    <w:pPr>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18DEA">
    <w:pPr>
      <w:pStyle w:val="6"/>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F80754D">
                          <w:pPr>
                            <w:pStyle w:val="6"/>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vz85nEAQAAjwMAAA4AAABkcnMvZTJvRG9jLnhtbK1TzY7TMBC+I/EO&#10;lu80aaVF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vz85nEAQAAjwMAAA4AAAAAAAAAAQAgAAAAHwEAAGRycy9lMm9Eb2MueG1s&#10;UEsFBgAAAAAGAAYAWQEAAFUFAAAAAA==&#10;">
              <v:fill on="f" focussize="0,0"/>
              <v:stroke on="f"/>
              <v:imagedata o:title=""/>
              <o:lock v:ext="edit" aspectratio="f"/>
              <v:textbox inset="0mm,0mm,0mm,0mm" style="mso-fit-shape-to-text:t;">
                <w:txbxContent>
                  <w:p w14:paraId="0F80754D">
                    <w:pPr>
                      <w:pStyle w:val="6"/>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B06D0">
    <w:pPr>
      <w:spacing w:line="270" w:lineRule="exact"/>
      <w:ind w:left="4815"/>
      <w:rPr>
        <w:rFonts w:ascii="等线" w:hAnsi="等线" w:eastAsia="等线" w:cs="等线"/>
        <w:sz w:val="18"/>
        <w:szCs w:val="18"/>
      </w:rPr>
    </w:pPr>
    <w:r>
      <w:rPr>
        <w:rFonts w:ascii="Calibri" w:hAnsi="Calibri" w:eastAsia="宋体" w:cs="黑体"/>
        <w:kern w:val="2"/>
        <w:sz w:val="18"/>
        <w:szCs w:val="22"/>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3493D65">
                          <w:pPr>
                            <w:pStyle w:val="6"/>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KBt7AsMBAACPAwAADgAAAAAAAAABACAAAAAfAQAAZHJzL2Uyb0RvYy54bWxQ&#10;SwUGAAAAAAYABgBZAQAAVAUAAAAA&#10;">
              <v:fill on="f" focussize="0,0"/>
              <v:stroke on="f"/>
              <v:imagedata o:title=""/>
              <o:lock v:ext="edit" aspectratio="f"/>
              <v:textbox inset="0mm,0mm,0mm,0mm" style="mso-fit-shape-to-text:t;">
                <w:txbxContent>
                  <w:p w14:paraId="03493D65">
                    <w:pPr>
                      <w:pStyle w:val="6"/>
                    </w:pPr>
                    <w:r>
                      <w:fldChar w:fldCharType="begin"/>
                    </w:r>
                    <w:r>
                      <w:instrText xml:space="preserve"> PAGE  \* MERGEFORMAT </w:instrText>
                    </w:r>
                    <w:r>
                      <w:fldChar w:fldCharType="separate"/>
                    </w:r>
                    <w:r>
                      <w:t>10</w:t>
                    </w:r>
                    <w:r>
                      <w:fldChar w:fldCharType="end"/>
                    </w:r>
                  </w:p>
                </w:txbxContent>
              </v:textbox>
            </v:rect>
          </w:pict>
        </mc:Fallback>
      </mc:AlternateContent>
    </w:r>
    <w:r>
      <w:rPr>
        <w:rFonts w:ascii="等线" w:hAnsi="等线" w:eastAsia="等线" w:cs="等线"/>
        <w:b/>
        <w:bCs/>
        <w:position w:val="3"/>
        <w:sz w:val="18"/>
        <w:szCs w:val="18"/>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83330">
    <w:pPr>
      <w:pStyle w:val="7"/>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9B762">
    <w:pPr>
      <w:autoSpaceDE w:val="0"/>
      <w:autoSpaceDN w:val="0"/>
      <w:spacing w:line="14" w:lineRule="auto"/>
      <w:jc w:val="left"/>
      <w:rPr>
        <w:rFonts w:ascii="仿宋" w:hAnsi="仿宋" w:eastAsia="仿宋" w:cs="仿宋"/>
        <w:kern w:val="0"/>
        <w:sz w:val="20"/>
        <w:szCs w:val="28"/>
        <w:lang w:val="zh-CN" w:bidi="zh-CN"/>
      </w:rPr>
    </w:pPr>
    <w:r>
      <w:rPr>
        <w:rFonts w:ascii="仿宋" w:hAnsi="仿宋" w:eastAsia="仿宋" w:cs="仿宋"/>
        <w:kern w:val="0"/>
        <w:sz w:val="28"/>
        <w:szCs w:val="28"/>
        <w:lang w:val="en-US" w:eastAsia="zh-CN" w:bidi="ar-SA"/>
      </w:rPr>
      <mc:AlternateContent>
        <mc:Choice Requires="wps">
          <w:drawing>
            <wp:anchor distT="0" distB="0" distL="114300" distR="114300" simplePos="0" relativeHeight="251659264" behindDoc="1" locked="0" layoutInCell="1" allowOverlap="1">
              <wp:simplePos x="0" y="0"/>
              <wp:positionH relativeFrom="page">
                <wp:posOffset>2680335</wp:posOffset>
              </wp:positionH>
              <wp:positionV relativeFrom="page">
                <wp:posOffset>763270</wp:posOffset>
              </wp:positionV>
              <wp:extent cx="2197735" cy="139700"/>
              <wp:effectExtent l="0" t="0" r="0" b="0"/>
              <wp:wrapNone/>
              <wp:docPr id="3" name="文本框 2"/>
              <wp:cNvGraphicFramePr/>
              <a:graphic xmlns:a="http://schemas.openxmlformats.org/drawingml/2006/main">
                <a:graphicData uri="http://schemas.microsoft.com/office/word/2010/wordprocessingShape">
                  <wps:wsp>
                    <wps:cNvSpPr/>
                    <wps:spPr>
                      <a:xfrm>
                        <a:off x="0" y="0"/>
                        <a:ext cx="2197735" cy="139700"/>
                      </a:xfrm>
                      <a:prstGeom prst="rect">
                        <a:avLst/>
                      </a:prstGeom>
                      <a:noFill/>
                      <a:ln>
                        <a:noFill/>
                      </a:ln>
                    </wps:spPr>
                    <wps:txbx>
                      <w:txbxContent>
                        <w:p w14:paraId="0AE96701">
                          <w:pPr>
                            <w:autoSpaceDE w:val="0"/>
                            <w:autoSpaceDN w:val="0"/>
                            <w:spacing w:line="220" w:lineRule="exact"/>
                            <w:ind w:left="20"/>
                            <w:jc w:val="left"/>
                            <w:rPr>
                              <w:rFonts w:ascii="仿宋" w:hAnsi="仿宋" w:eastAsia="仿宋" w:cs="仿宋"/>
                              <w:kern w:val="0"/>
                              <w:sz w:val="18"/>
                              <w:lang w:val="zh-CN" w:bidi="zh-CN"/>
                            </w:rPr>
                          </w:pPr>
                        </w:p>
                      </w:txbxContent>
                    </wps:txbx>
                    <wps:bodyPr lIns="0" tIns="0" rIns="0" bIns="0" upright="1"/>
                  </wps:wsp>
                </a:graphicData>
              </a:graphic>
            </wp:anchor>
          </w:drawing>
        </mc:Choice>
        <mc:Fallback>
          <w:pict>
            <v:rect id="文本框 2" o:spid="_x0000_s1026" o:spt="1" style="position:absolute;left:0pt;margin-left:211.05pt;margin-top:60.1pt;height:11pt;width:173.05pt;mso-position-horizontal-relative:page;mso-position-vertical-relative:page;z-index:-251657216;mso-width-relative:page;mso-height-relative:page;" filled="f" stroked="f" coordsize="21600,21600" o:gfxdata="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uA3NkAAAALAQAADwAAAAAAAAABACAAAAAiAAAAZHJzL2Rvd25yZXYueG1sUEsBAhQAFAAA&#10;AAgAh07iQDEiVv+1AQAAaAMAAA4AAAAAAAAAAQAgAAAAKAEAAGRycy9lMm9Eb2MueG1sUEsFBgAA&#10;AAAGAAYAWQEAAE8FAAAAAA==&#10;">
              <v:fill on="f" focussize="0,0"/>
              <v:stroke on="f"/>
              <v:imagedata o:title=""/>
              <o:lock v:ext="edit" aspectratio="f"/>
              <v:textbox inset="0mm,0mm,0mm,0mm">
                <w:txbxContent>
                  <w:p w14:paraId="0AE96701">
                    <w:pPr>
                      <w:autoSpaceDE w:val="0"/>
                      <w:autoSpaceDN w:val="0"/>
                      <w:spacing w:line="220" w:lineRule="exact"/>
                      <w:ind w:left="20"/>
                      <w:jc w:val="left"/>
                      <w:rPr>
                        <w:rFonts w:ascii="仿宋" w:hAnsi="仿宋" w:eastAsia="仿宋" w:cs="仿宋"/>
                        <w:kern w:val="0"/>
                        <w:sz w:val="18"/>
                        <w:lang w:val="zh-CN" w:bidi="zh-CN"/>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44596"/>
    <w:rsid w:val="174A3156"/>
    <w:rsid w:val="65D227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uiPriority w:val="0"/>
    <w:pPr>
      <w:keepNext/>
      <w:jc w:val="center"/>
      <w:outlineLvl w:val="0"/>
    </w:pPr>
    <w:rPr>
      <w:rFonts w:ascii="长城仿宋" w:hAnsi="Times New Roman" w:eastAsia="长城仿宋" w:cs="Times New Roman"/>
      <w:b/>
      <w:bCs/>
      <w:kern w:val="0"/>
      <w:sz w:val="20"/>
      <w:szCs w:val="24"/>
      <w:lang w:val="zh-CN"/>
    </w:rPr>
  </w:style>
  <w:style w:type="paragraph" w:styleId="3">
    <w:name w:val="heading 2"/>
    <w:basedOn w:val="1"/>
    <w:next w:val="1"/>
    <w:qFormat/>
    <w:uiPriority w:val="0"/>
    <w:pPr>
      <w:keepNext/>
      <w:keepLines/>
      <w:widowControl/>
      <w:snapToGrid w:val="0"/>
      <w:spacing w:before="0" w:beforeAutospacing="1" w:after="0" w:afterAutospacing="1" w:line="360" w:lineRule="auto"/>
      <w:ind w:left="-6" w:hanging="11"/>
      <w:jc w:val="left"/>
      <w:outlineLvl w:val="1"/>
    </w:pPr>
    <w:rPr>
      <w:rFonts w:hint="default" w:ascii="Arial" w:hAnsi="Arial" w:eastAsia="宋体" w:cs="Times New Roman"/>
      <w:b/>
      <w:bCs/>
      <w:kern w:val="0"/>
      <w:sz w:val="24"/>
      <w:szCs w:val="24"/>
      <w:lang w:val="en-US" w:eastAsia="zh-CN"/>
    </w:rPr>
  </w:style>
  <w:style w:type="paragraph" w:styleId="4">
    <w:name w:val="heading 3"/>
    <w:basedOn w:val="1"/>
    <w:next w:val="1"/>
    <w:qFormat/>
    <w:uiPriority w:val="0"/>
    <w:pPr>
      <w:keepNext/>
      <w:outlineLvl w:val="2"/>
    </w:pPr>
    <w:rPr>
      <w:rFonts w:ascii="Times New Roman" w:hAnsi="Times New Roman" w:eastAsia="宋体" w:cs="Times New Roman"/>
      <w:b/>
      <w:kern w:val="0"/>
      <w:sz w:val="28"/>
      <w:szCs w:val="20"/>
      <w:lang w:val="zh-CN"/>
    </w:rPr>
  </w:style>
  <w:style w:type="character" w:default="1" w:styleId="12">
    <w:name w:val="Default Paragraph Fon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Times New Roman" w:hAnsi="Times New Roman" w:eastAsia="宋体" w:cs="Times New Roman"/>
      <w:kern w:val="0"/>
      <w:sz w:val="20"/>
      <w:szCs w:val="24"/>
      <w:lang w:val="zh-CN"/>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tabs>
        <w:tab w:val="right" w:leader="dot" w:pos="9061"/>
      </w:tabs>
      <w:spacing w:line="480" w:lineRule="auto"/>
      <w:ind w:left="358" w:hanging="358" w:hangingChars="128"/>
    </w:pPr>
    <w:rPr>
      <w:rFonts w:ascii="Times New Roman" w:hAnsi="Times New Roman" w:eastAsia="宋体" w:cs="Times New Roman"/>
      <w:szCs w:val="24"/>
    </w:rPr>
  </w:style>
  <w:style w:type="paragraph" w:styleId="9">
    <w:name w:val="toc 6"/>
    <w:basedOn w:val="1"/>
    <w:next w:val="1"/>
    <w:uiPriority w:val="0"/>
    <w:pPr>
      <w:ind w:left="1400"/>
    </w:pPr>
    <w:rPr>
      <w:rFonts w:ascii="Calibri"/>
      <w:sz w:val="18"/>
      <w:szCs w:val="18"/>
    </w:rPr>
  </w:style>
  <w:style w:type="paragraph" w:styleId="10">
    <w:name w:val="toc 2"/>
    <w:basedOn w:val="1"/>
    <w:next w:val="1"/>
    <w:qFormat/>
    <w:uiPriority w:val="0"/>
    <w:pPr>
      <w:ind w:left="420" w:leftChars="200"/>
    </w:pPr>
    <w:rPr>
      <w:rFonts w:ascii="Times New Roman" w:hAnsi="Times New Roman" w:eastAsia="宋体" w:cs="Times New Roman"/>
      <w:szCs w:val="24"/>
    </w:rPr>
  </w:style>
  <w:style w:type="character" w:styleId="13">
    <w:name w:val="Strong"/>
    <w:basedOn w:val="12"/>
    <w:qFormat/>
    <w:uiPriority w:val="0"/>
    <w:rPr>
      <w:b/>
    </w:rPr>
  </w:style>
  <w:style w:type="paragraph" w:customStyle="1" w:styleId="14">
    <w:name w:val="Body Text Indent"/>
    <w:basedOn w:val="1"/>
    <w:next w:val="15"/>
    <w:uiPriority w:val="0"/>
    <w:pPr>
      <w:ind w:left="480" w:hanging="480" w:hangingChars="200"/>
    </w:pPr>
    <w:rPr>
      <w:rFonts w:ascii="Times New Roman" w:hAnsi="Times New Roman" w:eastAsia="宋体" w:cs="Times New Roman"/>
      <w:kern w:val="0"/>
      <w:sz w:val="24"/>
      <w:szCs w:val="24"/>
      <w:lang w:val="zh-CN"/>
    </w:rPr>
  </w:style>
  <w:style w:type="paragraph" w:customStyle="1" w:styleId="15">
    <w:name w:val="Body Text First Indent 2"/>
    <w:basedOn w:val="14"/>
    <w:qFormat/>
    <w:uiPriority w:val="0"/>
    <w:pPr>
      <w:ind w:firstLine="420"/>
    </w:pPr>
  </w:style>
  <w:style w:type="paragraph" w:customStyle="1" w:styleId="16">
    <w:name w:val="Plain Text"/>
    <w:basedOn w:val="1"/>
    <w:qFormat/>
    <w:uiPriority w:val="0"/>
    <w:pPr>
      <w:widowControl/>
      <w:overflowPunct w:val="0"/>
      <w:autoSpaceDE w:val="0"/>
      <w:autoSpaceDN w:val="0"/>
      <w:adjustRightInd w:val="0"/>
      <w:jc w:val="left"/>
      <w:textAlignment w:val="baseline"/>
    </w:pPr>
    <w:rPr>
      <w:rFonts w:ascii="Wingdings" w:hAnsi="长城仿宋" w:eastAsia="Wingdings" w:cs="Times New Roman"/>
      <w:kern w:val="0"/>
      <w:sz w:val="20"/>
      <w:szCs w:val="21"/>
      <w:lang w:val="zh-CN"/>
    </w:rPr>
  </w:style>
  <w:style w:type="paragraph" w:customStyle="1" w:styleId="17">
    <w:name w:val="Normal (Web)"/>
    <w:basedOn w:val="1"/>
    <w:qFormat/>
    <w:uiPriority w:val="0"/>
    <w:pPr>
      <w:widowControl/>
      <w:spacing w:before="100" w:beforeAutospacing="1" w:after="100" w:afterAutospacing="1"/>
      <w:jc w:val="left"/>
    </w:pPr>
    <w:rPr>
      <w:rFonts w:ascii="Wingdings" w:hAnsi="Wingdings" w:eastAsia="宋体" w:cs="Wingdings"/>
      <w:kern w:val="0"/>
      <w:sz w:val="24"/>
      <w:szCs w:val="24"/>
    </w:rPr>
  </w:style>
  <w:style w:type="paragraph" w:customStyle="1" w:styleId="18">
    <w:name w:val="Body Text First Indent"/>
    <w:basedOn w:val="5"/>
    <w:next w:val="9"/>
    <w:qFormat/>
    <w:uiPriority w:val="0"/>
    <w:pPr>
      <w:ind w:firstLine="420" w:firstLineChars="100"/>
    </w:pPr>
    <w:rPr>
      <w:rFonts w:ascii="Calibri" w:hAnsi="Calibri"/>
      <w:sz w:val="21"/>
      <w:szCs w:val="22"/>
    </w:rPr>
  </w:style>
  <w:style w:type="paragraph" w:customStyle="1" w:styleId="19">
    <w:name w:val="表格文字"/>
    <w:basedOn w:val="16"/>
    <w:next w:val="5"/>
    <w:qFormat/>
    <w:uiPriority w:val="0"/>
    <w:pPr>
      <w:spacing w:line="420" w:lineRule="atLeast"/>
    </w:pPr>
    <w:rPr>
      <w:rFonts w:ascii="Times New Roman" w:hAnsi="Times New Roman"/>
      <w:szCs w:val="24"/>
    </w:rPr>
  </w:style>
  <w:style w:type="paragraph" w:customStyle="1" w:styleId="20">
    <w:name w:val="纯文本1"/>
    <w:qFormat/>
    <w:uiPriority w:val="0"/>
    <w:rPr>
      <w:rFonts w:hint="eastAsia" w:ascii="宋体" w:hAnsi="Courier New" w:eastAsia="宋体" w:cs="Times New Roman"/>
      <w:kern w:val="2"/>
      <w:sz w:val="21"/>
      <w:lang w:val="en-US" w:eastAsia="zh-CN" w:bidi="ar-SA"/>
    </w:rPr>
  </w:style>
  <w:style w:type="paragraph" w:customStyle="1" w:styleId="21">
    <w:name w:val="正文1"/>
    <w:basedOn w:val="1"/>
    <w:qFormat/>
    <w:uiPriority w:val="0"/>
    <w:pPr>
      <w:spacing w:line="500" w:lineRule="exact"/>
    </w:pPr>
    <w:rPr>
      <w:rFonts w:ascii="黑体" w:hAnsi="黑体" w:eastAsia="宋体" w:cs="Times New Roman"/>
      <w:sz w:val="24"/>
      <w:szCs w:val="20"/>
    </w:rPr>
  </w:style>
  <w:style w:type="paragraph" w:customStyle="1" w:styleId="22">
    <w:name w:val="Table Text"/>
    <w:basedOn w:val="1"/>
    <w:qFormat/>
    <w:uiPriority w:val="0"/>
    <w:rPr>
      <w:rFonts w:ascii="宋体" w:hAnsi="宋体" w:eastAsia="宋体" w:cs="宋体"/>
      <w:sz w:val="24"/>
      <w:szCs w:val="24"/>
      <w:lang w:val="en-US" w:eastAsia="en-US" w:bidi="ar-SA"/>
    </w:rPr>
  </w:style>
  <w:style w:type="character" w:customStyle="1" w:styleId="23">
    <w:name w:val="page number"/>
    <w:uiPriority w:val="0"/>
    <w:rPr>
      <w:rFonts w:ascii="Times New Roman" w:hAnsi="Times New Roman" w:cs="Times New Roman"/>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8338</Words>
  <Characters>8720</Characters>
  <Lines>0</Lines>
  <Paragraphs>0</Paragraphs>
  <TotalTime>0</TotalTime>
  <ScaleCrop>false</ScaleCrop>
  <LinksUpToDate>false</LinksUpToDate>
  <CharactersWithSpaces>8981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2023-10-16T13:14:00Z</dcterms:created>
  <dc:creator>徐小方</dc:creator>
  <cp:lastModifiedBy>林嘉风</cp:lastModifiedBy>
  <cp:lastPrinted>2023-10-26T12:19:00Z</cp:lastPrinted>
  <dcterms:modified xsi:type="dcterms:W3CDTF">2025-11-06T07:32:08Z</dcterms:modified>
  <dc:title>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C597E7CA1C3345DA973E5183CC82FACF_13</vt:lpwstr>
  </property>
  <property fmtid="{D5CDD505-2E9C-101B-9397-08002B2CF9AE}" pid="4" name="KSOTemplateDocerSaveRecord">
    <vt:lpwstr>eyJoZGlkIjoiMWQ4ZWQ5MjJhMThlMWY1N2MyYjI2Njk2ODRmNDc3NTQiLCJ1c2VySWQiOiIxNTk0NTI2ODMzIn0=</vt:lpwstr>
  </property>
</Properties>
</file>