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2DD77">
      <w:pPr>
        <w:jc w:val="both"/>
        <w:rPr>
          <w:rStyle w:val="8"/>
          <w:rFonts w:hint="default" w:ascii="宋体" w:hAnsi="宋体" w:eastAsia="宋体" w:cs="宋体"/>
          <w:b w:val="0"/>
          <w:bCs/>
          <w:i w:val="0"/>
          <w:iCs w:val="0"/>
          <w:caps w:val="0"/>
          <w:color w:val="454545"/>
          <w:spacing w:val="0"/>
          <w:kern w:val="0"/>
          <w:sz w:val="24"/>
          <w:szCs w:val="24"/>
          <w:lang w:val="en-US" w:eastAsia="zh-CN" w:bidi="ar"/>
        </w:rPr>
      </w:pPr>
      <w:r>
        <w:rPr>
          <w:rStyle w:val="8"/>
          <w:rFonts w:hint="eastAsia" w:ascii="宋体" w:hAnsi="宋体" w:eastAsia="宋体" w:cs="宋体"/>
          <w:b w:val="0"/>
          <w:bCs/>
          <w:i w:val="0"/>
          <w:iCs w:val="0"/>
          <w:caps w:val="0"/>
          <w:color w:val="454545"/>
          <w:spacing w:val="0"/>
          <w:kern w:val="0"/>
          <w:sz w:val="24"/>
          <w:szCs w:val="24"/>
          <w:lang w:val="en-US" w:eastAsia="zh-CN" w:bidi="ar"/>
        </w:rPr>
        <w:t>附件1</w:t>
      </w:r>
    </w:p>
    <w:p w14:paraId="76F91E3E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供应商须知</w:t>
      </w:r>
    </w:p>
    <w:p w14:paraId="6027A1B7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 w:firstLine="480" w:firstLineChars="200"/>
        <w:jc w:val="both"/>
        <w:rPr>
          <w:rStyle w:val="8"/>
          <w:rFonts w:hint="eastAsia" w:ascii="宋体" w:hAnsi="宋体" w:eastAsia="宋体" w:cs="宋体"/>
          <w:b w:val="0"/>
          <w:bCs/>
          <w:i w:val="0"/>
          <w:iCs w:val="0"/>
          <w:caps w:val="0"/>
          <w:color w:val="454545"/>
          <w:spacing w:val="0"/>
          <w:sz w:val="24"/>
          <w:szCs w:val="24"/>
          <w:lang w:val="en-US" w:eastAsia="zh-CN"/>
        </w:rPr>
      </w:pPr>
      <w:r>
        <w:rPr>
          <w:rStyle w:val="8"/>
          <w:rFonts w:hint="eastAsia" w:ascii="宋体" w:hAnsi="宋体" w:eastAsia="宋体" w:cs="宋体"/>
          <w:b w:val="0"/>
          <w:bCs/>
          <w:i w:val="0"/>
          <w:iCs w:val="0"/>
          <w:caps w:val="0"/>
          <w:color w:val="454545"/>
          <w:spacing w:val="0"/>
          <w:sz w:val="24"/>
          <w:szCs w:val="24"/>
          <w:lang w:val="en-US" w:eastAsia="zh-CN"/>
        </w:rPr>
        <w:t>采购内容</w:t>
      </w:r>
    </w:p>
    <w:tbl>
      <w:tblPr>
        <w:tblW w:w="848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296"/>
        <w:gridCol w:w="1656"/>
        <w:gridCol w:w="939"/>
        <w:gridCol w:w="939"/>
        <w:gridCol w:w="1037"/>
        <w:gridCol w:w="1167"/>
        <w:gridCol w:w="809"/>
      </w:tblGrid>
      <w:tr w14:paraId="15640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1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3D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2A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车型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79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轮胎型号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5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轮胎花纹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B6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合计轮胎数（条）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E1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车辆总质量（KG）</w:t>
            </w:r>
          </w:p>
        </w:tc>
        <w:tc>
          <w:tcPr>
            <w:tcW w:w="1169" w:type="dxa"/>
            <w:tcBorders>
              <w:top w:val="single" w:color="C00000" w:sz="8" w:space="0"/>
              <w:left w:val="single" w:color="C00000" w:sz="8" w:space="0"/>
              <w:bottom w:val="single" w:color="000000" w:sz="4" w:space="0"/>
              <w:right w:val="single" w:color="C00000" w:sz="8" w:space="0"/>
            </w:tcBorders>
            <w:shd w:val="clear"/>
            <w:vAlign w:val="center"/>
          </w:tcPr>
          <w:p w14:paraId="30CE3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最高限价（元）</w:t>
            </w:r>
          </w:p>
        </w:tc>
        <w:tc>
          <w:tcPr>
            <w:tcW w:w="8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A1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0D8E7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80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B3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中联洒水车、洗扫车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F7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275/80R/22.5真空钢丝胎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C0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中花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D1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AA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C00000" w:sz="8" w:space="0"/>
              <w:bottom w:val="single" w:color="000000" w:sz="4" w:space="0"/>
              <w:right w:val="single" w:color="C00000" w:sz="8" w:space="0"/>
            </w:tcBorders>
            <w:shd w:val="clear"/>
            <w:noWrap/>
            <w:vAlign w:val="center"/>
          </w:tcPr>
          <w:p w14:paraId="322E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1166.67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691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BA7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07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30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中联新能源扫地车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9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295/80R/22.5真空钢丝胎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E5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中花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D6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59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C00000" w:sz="8" w:space="0"/>
              <w:bottom w:val="single" w:color="000000" w:sz="4" w:space="0"/>
              <w:right w:val="single" w:color="C00000" w:sz="8" w:space="0"/>
            </w:tcBorders>
            <w:shd w:val="clear"/>
            <w:noWrap/>
            <w:vAlign w:val="center"/>
          </w:tcPr>
          <w:p w14:paraId="50E4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1205.83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063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E73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E4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D6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福龙马洒水车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9A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10.00R20钢丝胎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3D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中花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C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07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C00000" w:sz="8" w:space="0"/>
              <w:bottom w:val="single" w:color="000000" w:sz="4" w:space="0"/>
              <w:right w:val="single" w:color="C00000" w:sz="8" w:space="0"/>
            </w:tcBorders>
            <w:shd w:val="clear"/>
            <w:noWrap/>
            <w:vAlign w:val="center"/>
          </w:tcPr>
          <w:p w14:paraId="0EB9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1429.17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6D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内胎</w:t>
            </w:r>
          </w:p>
        </w:tc>
      </w:tr>
      <w:tr w14:paraId="38AD0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43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28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中联垃圾转运车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50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11.00R20钢丝胎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D1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中花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89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EC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C00000" w:sz="8" w:space="0"/>
              <w:bottom w:val="single" w:color="000000" w:sz="4" w:space="0"/>
              <w:right w:val="single" w:color="C00000" w:sz="8" w:space="0"/>
            </w:tcBorders>
            <w:shd w:val="clear"/>
            <w:noWrap/>
            <w:vAlign w:val="center"/>
          </w:tcPr>
          <w:p w14:paraId="32413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1789.17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AD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内胎</w:t>
            </w:r>
          </w:p>
        </w:tc>
      </w:tr>
      <w:tr w14:paraId="3250B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2C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2C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中联小型扫地车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37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185R15LT真空钢丝胎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C4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直纹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7C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46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C00000" w:sz="8" w:space="0"/>
              <w:bottom w:val="single" w:color="000000" w:sz="4" w:space="0"/>
              <w:right w:val="single" w:color="C00000" w:sz="8" w:space="0"/>
            </w:tcBorders>
            <w:shd w:val="clear"/>
            <w:noWrap/>
            <w:vAlign w:val="center"/>
          </w:tcPr>
          <w:p w14:paraId="010AC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368.33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483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22D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04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79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五十铃栏板货车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D4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700R16LT真空胎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09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直纹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A8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B0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C00000" w:sz="8" w:space="0"/>
              <w:bottom w:val="single" w:color="000000" w:sz="4" w:space="0"/>
              <w:right w:val="single" w:color="C00000" w:sz="8" w:space="0"/>
            </w:tcBorders>
            <w:shd w:val="clear"/>
            <w:noWrap/>
            <w:vAlign w:val="center"/>
          </w:tcPr>
          <w:p w14:paraId="32AA2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441.67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C1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D70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49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10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福田自卸车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8F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600R/15LT真空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7E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直纹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49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2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C00000" w:sz="8" w:space="0"/>
              <w:bottom w:val="single" w:color="000000" w:sz="4" w:space="0"/>
              <w:right w:val="single" w:color="C00000" w:sz="8" w:space="0"/>
            </w:tcBorders>
            <w:shd w:val="clear"/>
            <w:noWrap/>
            <w:vAlign w:val="center"/>
          </w:tcPr>
          <w:p w14:paraId="3F35A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298.33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09D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784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20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7C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新源重轮式挖机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5F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8.25-16LT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3E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大花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56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EF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C00000" w:sz="8" w:space="0"/>
              <w:bottom w:val="single" w:color="000000" w:sz="4" w:space="0"/>
              <w:right w:val="single" w:color="C00000" w:sz="8" w:space="0"/>
            </w:tcBorders>
            <w:shd w:val="clear"/>
            <w:noWrap/>
            <w:vAlign w:val="center"/>
          </w:tcPr>
          <w:p w14:paraId="7335D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758.33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E7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内胎</w:t>
            </w:r>
          </w:p>
        </w:tc>
      </w:tr>
      <w:tr w14:paraId="63E85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50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D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中联新能源垃圾压缩车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D3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185R/15LT真空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7A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直纹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4B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E2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C00000" w:sz="8" w:space="0"/>
              <w:bottom w:val="single" w:color="000000" w:sz="4" w:space="0"/>
              <w:right w:val="single" w:color="C00000" w:sz="8" w:space="0"/>
            </w:tcBorders>
            <w:shd w:val="clear"/>
            <w:noWrap/>
            <w:vAlign w:val="center"/>
          </w:tcPr>
          <w:p w14:paraId="79422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342.00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65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FEF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76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4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福田皮卡车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58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265/60R/18真空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8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直纹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02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E1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C00000" w:sz="8" w:space="0"/>
              <w:bottom w:val="single" w:color="000000" w:sz="4" w:space="0"/>
              <w:right w:val="single" w:color="C00000" w:sz="8" w:space="0"/>
            </w:tcBorders>
            <w:shd w:val="clear"/>
            <w:noWrap/>
            <w:vAlign w:val="center"/>
          </w:tcPr>
          <w:p w14:paraId="4DFC2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750.00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9C9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FC6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0C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0E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东风小康新能源七座面包车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13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185R14LT真空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3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直纹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AA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6B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C00000" w:sz="8" w:space="0"/>
              <w:bottom w:val="single" w:color="000000" w:sz="4" w:space="0"/>
              <w:right w:val="single" w:color="C00000" w:sz="8" w:space="0"/>
            </w:tcBorders>
            <w:shd w:val="clear"/>
            <w:noWrap/>
            <w:vAlign w:val="center"/>
          </w:tcPr>
          <w:p w14:paraId="64347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311.00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4C0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41E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AD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F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东风小康燃油七座面包车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B5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195/60R/15真空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61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直纹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E6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F8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C00000" w:sz="8" w:space="0"/>
              <w:bottom w:val="single" w:color="000000" w:sz="4" w:space="0"/>
              <w:right w:val="single" w:color="C00000" w:sz="8" w:space="0"/>
            </w:tcBorders>
            <w:shd w:val="clear"/>
            <w:noWrap/>
            <w:vAlign w:val="center"/>
          </w:tcPr>
          <w:p w14:paraId="1790B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296.33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339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106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B0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13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东风七座面包车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8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195/70R/15真空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E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直纹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29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74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C00000" w:sz="8" w:space="0"/>
              <w:bottom w:val="single" w:color="C00000" w:sz="8" w:space="0"/>
              <w:right w:val="single" w:color="C00000" w:sz="8" w:space="0"/>
            </w:tcBorders>
            <w:shd w:val="clear"/>
            <w:noWrap/>
            <w:vAlign w:val="center"/>
          </w:tcPr>
          <w:p w14:paraId="27B4E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347.00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F30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17F7A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备注：1.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轮胎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清单中的采购数量为预计使用量，当采购数量与实际使用数量不一致时，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应根据实际使用量供货，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结算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金额按实际使用量乘以成交单价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投标轮胎单价减去废旧轮胎回收单价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进行计算。</w:t>
      </w:r>
    </w:p>
    <w:p w14:paraId="0502F6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总计约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年的使用量，以合同生效后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年时间或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预算经费支付完为准。</w:t>
      </w:r>
    </w:p>
    <w:p w14:paraId="3BE25BF4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 w:firstLine="480" w:firstLineChars="200"/>
        <w:jc w:val="both"/>
        <w:rPr>
          <w:rStyle w:val="8"/>
          <w:rFonts w:hint="eastAsia" w:ascii="宋体" w:hAnsi="宋体" w:eastAsia="宋体" w:cs="宋体"/>
          <w:b w:val="0"/>
          <w:bCs/>
          <w:i w:val="0"/>
          <w:iCs w:val="0"/>
          <w:caps w:val="0"/>
          <w:color w:val="454545"/>
          <w:spacing w:val="0"/>
          <w:sz w:val="24"/>
          <w:szCs w:val="24"/>
          <w:lang w:val="en-US" w:eastAsia="zh-CN"/>
        </w:rPr>
      </w:pPr>
      <w:r>
        <w:rPr>
          <w:rStyle w:val="8"/>
          <w:rFonts w:hint="eastAsia" w:ascii="宋体" w:hAnsi="宋体" w:eastAsia="宋体" w:cs="宋体"/>
          <w:b w:val="0"/>
          <w:bCs/>
          <w:i w:val="0"/>
          <w:iCs w:val="0"/>
          <w:caps w:val="0"/>
          <w:color w:val="454545"/>
          <w:spacing w:val="0"/>
          <w:sz w:val="24"/>
          <w:szCs w:val="24"/>
          <w:lang w:val="en-US" w:eastAsia="zh-CN"/>
        </w:rPr>
        <w:t>二、采购项目参数及要求</w:t>
      </w:r>
    </w:p>
    <w:p w14:paraId="257E640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480" w:firstLineChars="200"/>
        <w:jc w:val="both"/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454545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454545"/>
          <w:spacing w:val="0"/>
          <w:sz w:val="24"/>
          <w:szCs w:val="24"/>
          <w:u w:val="none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454545"/>
          <w:spacing w:val="0"/>
          <w:sz w:val="24"/>
          <w:szCs w:val="24"/>
          <w:u w:val="none"/>
        </w:rPr>
        <w:t>、轮胎技术规格必须符合GB9744-2015《载重汽车轮胎》、GB/T2977-2016《载重汽车轮胎规格、尺寸、气压与负荷》、CNCA-C21-01:2015《机动车辆轮胎强制性认证实施规则》（轮胎产品）等相关技术标准要求。</w:t>
      </w:r>
    </w:p>
    <w:p w14:paraId="474E2DA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480" w:firstLineChars="200"/>
        <w:jc w:val="both"/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454545"/>
          <w:spacing w:val="0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454545"/>
          <w:spacing w:val="0"/>
          <w:sz w:val="24"/>
          <w:szCs w:val="24"/>
          <w:u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454545"/>
          <w:spacing w:val="0"/>
          <w:sz w:val="24"/>
          <w:szCs w:val="24"/>
          <w:u w:val="none"/>
        </w:rPr>
        <w:t>、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454545"/>
          <w:spacing w:val="0"/>
          <w:sz w:val="24"/>
          <w:szCs w:val="24"/>
          <w:u w:val="none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454545"/>
          <w:spacing w:val="0"/>
          <w:sz w:val="24"/>
          <w:szCs w:val="24"/>
          <w:u w:val="none"/>
        </w:rPr>
        <w:t>在供货时，每批次需提交产品合格证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454545"/>
          <w:spacing w:val="0"/>
          <w:sz w:val="24"/>
          <w:szCs w:val="24"/>
          <w:u w:val="none"/>
          <w:lang w:eastAsia="zh-CN"/>
        </w:rPr>
        <w:t>。</w:t>
      </w:r>
    </w:p>
    <w:p w14:paraId="26DFE5F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480" w:firstLineChars="200"/>
        <w:jc w:val="both"/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454545"/>
          <w:spacing w:val="0"/>
          <w:sz w:val="24"/>
          <w:szCs w:val="24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454545"/>
          <w:spacing w:val="0"/>
          <w:sz w:val="24"/>
          <w:szCs w:val="24"/>
          <w:u w:val="none"/>
        </w:rPr>
        <w:t>、供货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454545"/>
          <w:spacing w:val="0"/>
          <w:sz w:val="24"/>
          <w:szCs w:val="24"/>
          <w:u w:val="none"/>
          <w:lang w:eastAsia="zh-CN"/>
        </w:rPr>
        <w:t>轮胎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454545"/>
          <w:spacing w:val="0"/>
          <w:sz w:val="24"/>
          <w:szCs w:val="24"/>
          <w:u w:val="none"/>
        </w:rPr>
        <w:t>是全新的、未使用过的、原包装未拆封的产品，完全符合采购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454545"/>
          <w:spacing w:val="0"/>
          <w:sz w:val="24"/>
          <w:szCs w:val="24"/>
          <w:u w:val="none"/>
          <w:lang w:eastAsia="zh-CN"/>
        </w:rPr>
        <w:t>轮胎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454545"/>
          <w:spacing w:val="0"/>
          <w:sz w:val="24"/>
          <w:szCs w:val="24"/>
          <w:u w:val="none"/>
        </w:rPr>
        <w:t>规定的质量、规格和性能的要求，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454545"/>
          <w:spacing w:val="0"/>
          <w:sz w:val="24"/>
          <w:szCs w:val="24"/>
          <w:u w:val="none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454545"/>
          <w:spacing w:val="0"/>
          <w:sz w:val="24"/>
          <w:szCs w:val="24"/>
          <w:u w:val="none"/>
        </w:rPr>
        <w:t>应保证其提供的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454545"/>
          <w:spacing w:val="0"/>
          <w:sz w:val="24"/>
          <w:szCs w:val="24"/>
          <w:u w:val="none"/>
          <w:lang w:eastAsia="zh-CN"/>
        </w:rPr>
        <w:t>轮胎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454545"/>
          <w:spacing w:val="0"/>
          <w:sz w:val="24"/>
          <w:szCs w:val="24"/>
          <w:u w:val="none"/>
        </w:rPr>
        <w:t>在正确安装、正常使用和保养条件下，在规定的使用寿命期内具有满意的性能。</w:t>
      </w:r>
    </w:p>
    <w:p w14:paraId="24D8F6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rPr>
          <w:rStyle w:val="8"/>
          <w:rFonts w:hint="eastAsia" w:ascii="宋体" w:hAnsi="宋体" w:eastAsia="宋体" w:cs="宋体"/>
          <w:b w:val="0"/>
          <w:bCs/>
          <w:i w:val="0"/>
          <w:iCs w:val="0"/>
          <w:caps w:val="0"/>
          <w:color w:val="454545"/>
          <w:spacing w:val="0"/>
          <w:kern w:val="0"/>
          <w:sz w:val="24"/>
          <w:szCs w:val="24"/>
          <w:lang w:val="en-US" w:eastAsia="zh-CN" w:bidi="ar"/>
        </w:rPr>
      </w:pPr>
      <w:r>
        <w:rPr>
          <w:rStyle w:val="8"/>
          <w:rFonts w:hint="eastAsia" w:ascii="宋体" w:hAnsi="宋体" w:eastAsia="宋体" w:cs="宋体"/>
          <w:b w:val="0"/>
          <w:bCs/>
          <w:i w:val="0"/>
          <w:iCs w:val="0"/>
          <w:caps w:val="0"/>
          <w:color w:val="454545"/>
          <w:spacing w:val="0"/>
          <w:kern w:val="0"/>
          <w:sz w:val="24"/>
          <w:szCs w:val="24"/>
          <w:lang w:val="en-US" w:eastAsia="zh-CN" w:bidi="ar"/>
        </w:rPr>
        <w:t>三、商务要求</w:t>
      </w:r>
    </w:p>
    <w:p w14:paraId="7CC8E1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1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项目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报价要求</w:t>
      </w:r>
    </w:p>
    <w:p w14:paraId="282658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1.1投标报价均包括项目要求的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轮胎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购置费、运输费、装卸费、管理费、保险、利润、税金、完成本项目的其它费用和政策性文件规定及合同包含的所有风险、责任等各项应有费用。投标报价为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所能承受的整个项目的一次性最终报价，如有漏项，视同已包含在其它项目中，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总价和单价不做调整。</w:t>
      </w:r>
    </w:p>
    <w:p w14:paraId="661A0E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rPr>
          <w:rFonts w:hint="eastAsia" w:ascii="宋体" w:hAnsi="宋体" w:eastAsia="宋体" w:cs="宋体"/>
          <w:b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1.2</w:t>
      </w:r>
      <w:r>
        <w:rPr>
          <w:rFonts w:hint="default" w:ascii="宋体" w:hAnsi="宋体" w:eastAsia="宋体" w:cs="宋体"/>
          <w:b/>
          <w:bCs w:val="0"/>
          <w:sz w:val="24"/>
          <w:szCs w:val="24"/>
          <w:highlight w:val="none"/>
          <w:lang w:val="en-US" w:eastAsia="zh-CN"/>
        </w:rPr>
        <w:t>轮胎推荐品牌：朝阳、好运、威狮、玲珑。推荐品牌是采购人认可的品牌，供应商应予积极响应；供应商也可以选择品牌及产品性能不低于采购人推荐的其他品牌，但需采购人认定投标人响应的品牌不低于采购人提供的推荐品牌，否则有可能作无效标处理。</w:t>
      </w:r>
    </w:p>
    <w:p w14:paraId="0604FE9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1.</w:t>
      </w:r>
      <w:r>
        <w:rPr>
          <w:rFonts w:hint="eastAsia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须在《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报价书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》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附件3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上写明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各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投标单价和投标总价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轮胎单价不得高于最高限价，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投标最终价格（投标总价-废旧轮胎回收投标总价）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不得高于</w:t>
      </w:r>
      <w:r>
        <w:rPr>
          <w:rFonts w:hint="eastAsia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最高限价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213539元，</w:t>
      </w:r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  <w:lang w:val="en-US" w:eastAsia="zh-CN"/>
        </w:rPr>
        <w:t>投标单价超出各单价的限价或最终价格超出预算的都为无效投标</w:t>
      </w:r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</w:rPr>
        <w:t>。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如大写金额和小写金额不一致的，以大写金额为准；总价金额与按单价汇总金额不一致的，以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总价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金额为准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并调整单价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。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本次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报价采用最低价法，以投标最终价格（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轮胎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投标总价-废旧轮胎回收投标总价）最低的为中标</w:t>
      </w:r>
      <w:r>
        <w:rPr>
          <w:rFonts w:hint="eastAsia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spacing w:val="-8"/>
          <w:sz w:val="24"/>
          <w:szCs w:val="24"/>
          <w:highlight w:val="none"/>
        </w:rPr>
        <w:t>采购</w:t>
      </w:r>
      <w:r>
        <w:rPr>
          <w:rFonts w:hint="eastAsia" w:hAnsi="宋体" w:eastAsia="宋体" w:cs="宋体"/>
          <w:b w:val="0"/>
          <w:bCs/>
          <w:spacing w:val="-8"/>
          <w:sz w:val="24"/>
          <w:szCs w:val="24"/>
          <w:highlight w:val="none"/>
          <w:lang w:val="en-US" w:eastAsia="zh-CN"/>
        </w:rPr>
        <w:t>人</w:t>
      </w:r>
      <w:r>
        <w:rPr>
          <w:rFonts w:hint="eastAsia" w:ascii="宋体" w:hAnsi="宋体" w:eastAsia="宋体" w:cs="宋体"/>
          <w:b w:val="0"/>
          <w:bCs/>
          <w:spacing w:val="-8"/>
          <w:sz w:val="24"/>
          <w:szCs w:val="24"/>
          <w:highlight w:val="none"/>
        </w:rPr>
        <w:t>不接受低于成本的投标报价</w:t>
      </w:r>
      <w:r>
        <w:rPr>
          <w:rFonts w:hint="eastAsia" w:ascii="宋体" w:hAnsi="宋体" w:eastAsia="宋体" w:cs="宋体"/>
          <w:b w:val="0"/>
          <w:bCs/>
          <w:spacing w:val="-8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 xml:space="preserve">            </w:t>
      </w:r>
    </w:p>
    <w:p w14:paraId="1D12678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1.</w:t>
      </w:r>
      <w:r>
        <w:rPr>
          <w:rFonts w:hint="eastAsia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中标后，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所填写的单价在合同实施期间不因市场变化因素而变动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在计算报价时应考虑一定的风险系数。</w:t>
      </w:r>
    </w:p>
    <w:p w14:paraId="3AD7635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1.</w:t>
      </w:r>
      <w:r>
        <w:rPr>
          <w:rFonts w:hint="eastAsia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应按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采购公告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规定的报价格式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附件</w:t>
      </w:r>
      <w:r>
        <w:rPr>
          <w:rFonts w:hint="eastAsia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进行投标报价。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对每种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轮胎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只允许有一个报价，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采购</w:t>
      </w:r>
      <w:r>
        <w:rPr>
          <w:rFonts w:hint="eastAsia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人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不接受任何有选择性的报价。</w:t>
      </w:r>
    </w:p>
    <w:p w14:paraId="1B3527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交货期、交货方式及交货地点</w:t>
      </w:r>
    </w:p>
    <w:p w14:paraId="16C648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（1）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按月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分批供货，接到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书面通知后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天内按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实际需求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量供货。</w:t>
      </w:r>
    </w:p>
    <w:p w14:paraId="4FF572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（2）交货方式：现货。</w:t>
      </w:r>
    </w:p>
    <w:p w14:paraId="1CAA2A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（3）交货地点：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海经区内采购人指定地点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。</w:t>
      </w:r>
    </w:p>
    <w:p w14:paraId="7FBD9F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3、验收和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货款支付</w:t>
      </w:r>
    </w:p>
    <w:p w14:paraId="57257B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1、供应商保证所供轮胎符合国家及行业质量标准，随附产品合格证、质检报告等全套资料。采购人应在收到轮胎后及时进行验收，对不满足质量要求的轮胎将拒绝接收，供应商及时完成退换货。</w:t>
      </w:r>
    </w:p>
    <w:p w14:paraId="29D4DE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2、货款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按批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支付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，每批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轮胎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送达指定地点验收合格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后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由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供应商根据验收确认单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开具专用增值税发票向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结算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每批轮胎价格计算方式为（轮胎投标单价减去废旧轮胎回收投标单价）*当批轮胎</w:t>
      </w:r>
      <w:r>
        <w:rPr>
          <w:rStyle w:val="8"/>
          <w:rFonts w:hint="eastAsia" w:ascii="宋体" w:hAnsi="宋体" w:eastAsia="宋体" w:cs="宋体"/>
          <w:b w:val="0"/>
          <w:bCs/>
          <w:i w:val="0"/>
          <w:iCs w:val="0"/>
          <w:caps w:val="0"/>
          <w:color w:val="454545"/>
          <w:spacing w:val="0"/>
          <w:sz w:val="24"/>
          <w:szCs w:val="24"/>
          <w:highlight w:val="none"/>
          <w:lang w:val="en-US" w:eastAsia="zh-CN"/>
        </w:rPr>
        <w:t>数量，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在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收到发票后15日内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付款给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。</w:t>
      </w:r>
    </w:p>
    <w:p w14:paraId="587AEF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4、质保期</w:t>
      </w:r>
    </w:p>
    <w:p w14:paraId="1AD1DA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（1）质保期为三年或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万公里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质保时间和质保里程以先到为准；</w:t>
      </w:r>
    </w:p>
    <w:p w14:paraId="2CBC12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（2）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提供的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轮胎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在质保期内因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轮胎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本身的质量问题发生故障，应负责免费更换。对达不到技术要求者，根据实际情况，经双方协商，可按以下办法处理：①更换：发现产品质量问题，由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更换或理赔（实际使用≤50%更换整套轮胎，＞50%的按剩余价值索赔）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②贬值处理：由双方合议定价；③退货处理：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应退还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支付的合同款，同时应承担产品的直接费用（运输、保险、检验、货款利息及银行手续费等相关费用）；</w:t>
      </w:r>
    </w:p>
    <w:p w14:paraId="01D23E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（3）在质保期内，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应对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轮胎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出现的质量及安全问题负责处理解决并承担一切费用；</w:t>
      </w:r>
      <w:bookmarkStart w:id="0" w:name="_GoBack"/>
      <w:bookmarkEnd w:id="0"/>
    </w:p>
    <w:p w14:paraId="67AE71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（4）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提供的每批次轮胎出厂日期最长不得超过3个月，以胎号为准；</w:t>
      </w:r>
    </w:p>
    <w:p w14:paraId="01B7A0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3D9D50"/>
    <w:multiLevelType w:val="singleLevel"/>
    <w:tmpl w:val="E33D9D5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3608A"/>
    <w:rsid w:val="04E21E2C"/>
    <w:rsid w:val="1D001246"/>
    <w:rsid w:val="2D0D439B"/>
    <w:rsid w:val="3C204D92"/>
    <w:rsid w:val="7E29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240" w:lineRule="auto"/>
      <w:ind w:left="420" w:leftChars="200" w:firstLine="420"/>
    </w:pPr>
    <w:rPr>
      <w:rFonts w:cs="宋体"/>
      <w:sz w:val="21"/>
      <w:szCs w:val="21"/>
    </w:rPr>
  </w:style>
  <w:style w:type="paragraph" w:styleId="3">
    <w:name w:val="Body Text Indent"/>
    <w:basedOn w:val="1"/>
    <w:next w:val="1"/>
    <w:qFormat/>
    <w:uiPriority w:val="0"/>
    <w:pPr>
      <w:spacing w:line="460" w:lineRule="exact"/>
      <w:ind w:firstLine="482" w:firstLineChars="200"/>
    </w:pPr>
    <w:rPr>
      <w:b/>
      <w:bCs/>
      <w:sz w:val="24"/>
      <w:shd w:val="clear" w:color="auto" w:fill="CCCCCC"/>
    </w:rPr>
  </w:style>
  <w:style w:type="paragraph" w:styleId="4">
    <w:name w:val="Plain Text"/>
    <w:basedOn w:val="1"/>
    <w:next w:val="1"/>
    <w:qFormat/>
    <w:uiPriority w:val="0"/>
    <w:rPr>
      <w:rFonts w:ascii="宋体" w:hAnsi="Courier New" w:cs="Courier New"/>
      <w:szCs w:val="21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1681</Words>
  <Characters>1957</Characters>
  <Lines>0</Lines>
  <Paragraphs>0</Paragraphs>
  <TotalTime>24</TotalTime>
  <ScaleCrop>false</ScaleCrop>
  <LinksUpToDate>false</LinksUpToDate>
  <CharactersWithSpaces>1982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2024-12-25T01:49:00Z</dcterms:created>
  <dc:creator>Administrator</dc:creator>
  <cp:lastModifiedBy>陈淑环</cp:lastModifiedBy>
  <dcterms:modified xsi:type="dcterms:W3CDTF">2025-07-14T03:42:11Z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E7F87EAD9D4E47D28CE301A01FF08B60_12</vt:lpwstr>
  </property>
  <property fmtid="{D5CDD505-2E9C-101B-9397-08002B2CF9AE}" pid="4" name="KSOTemplateDocerSaveRecord">
    <vt:lpwstr>eyJoZGlkIjoiZGQzY2Q4Njc4YjAyZDI5YjhjYzZhOGJkOWQ4NmZlNGIiLCJ1c2VySWQiOiIzMjk1NTY0MzUifQ==</vt:lpwstr>
  </property>
</Properties>
</file>