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宋体" w:hAnsi="宋体" w:cs="宋体"/>
          <w:color w:val="auto"/>
          <w:sz w:val="36"/>
          <w:szCs w:val="44"/>
          <w:lang w:val="en-US" w:eastAsia="zh-CN"/>
        </w:rPr>
      </w:pPr>
      <w:bookmarkStart w:id="0" w:name="_GoBack"/>
      <w:bookmarkEnd w:id="0"/>
      <w:r>
        <w:rPr>
          <w:rFonts w:hint="eastAsia" w:ascii="宋体" w:hAnsi="宋体" w:cs="宋体"/>
          <w:color w:val="auto"/>
          <w:sz w:val="36"/>
          <w:szCs w:val="44"/>
          <w:lang w:val="en-US" w:eastAsia="zh-CN"/>
        </w:rPr>
        <w:t>附件一</w:t>
      </w:r>
    </w:p>
    <w:p>
      <w:pPr>
        <w:pStyle w:val="4"/>
        <w:ind w:left="0" w:leftChars="0" w:firstLine="0" w:firstLineChars="0"/>
        <w:jc w:val="center"/>
        <w:rPr>
          <w:rFonts w:hint="eastAsia" w:ascii="宋体" w:hAnsi="宋体" w:cs="宋体"/>
          <w:color w:val="auto"/>
          <w:sz w:val="36"/>
          <w:szCs w:val="44"/>
          <w:lang w:val="en-US" w:eastAsia="zh-CN"/>
        </w:rPr>
      </w:pPr>
    </w:p>
    <w:p>
      <w:pPr>
        <w:pStyle w:val="4"/>
        <w:ind w:left="0" w:leftChars="0" w:firstLine="0" w:firstLineChars="0"/>
        <w:jc w:val="center"/>
        <w:rPr>
          <w:rFonts w:hint="default"/>
          <w:lang w:val="en-US" w:eastAsia="zh-CN"/>
        </w:rPr>
      </w:pPr>
      <w:r>
        <w:rPr>
          <w:rFonts w:hint="eastAsia" w:ascii="宋体" w:hAnsi="宋体" w:cs="宋体"/>
          <w:color w:val="auto"/>
          <w:sz w:val="36"/>
          <w:szCs w:val="44"/>
          <w:lang w:val="en-US" w:eastAsia="zh-CN"/>
        </w:rPr>
        <w:t>报价清单</w:t>
      </w:r>
    </w:p>
    <w:p>
      <w:pPr>
        <w:pStyle w:val="2"/>
        <w:ind w:left="0" w:leftChars="0" w:firstLine="0" w:firstLineChars="0"/>
        <w:rPr>
          <w:rFonts w:hint="eastAsia"/>
          <w:color w:val="auto"/>
        </w:rPr>
      </w:pPr>
    </w:p>
    <w:tbl>
      <w:tblPr>
        <w:tblStyle w:val="9"/>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289"/>
        <w:gridCol w:w="2492"/>
        <w:gridCol w:w="1350"/>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835" w:type="dxa"/>
            <w:noWrap w:val="0"/>
            <w:vAlign w:val="center"/>
          </w:tcPr>
          <w:p>
            <w:pPr>
              <w:widowControl/>
              <w:jc w:val="center"/>
              <w:rPr>
                <w:rFonts w:hint="eastAsia" w:ascii="宋体" w:hAnsi="宋体" w:cs="宋体"/>
                <w:b/>
                <w:bCs/>
                <w:color w:val="auto"/>
                <w:kern w:val="0"/>
              </w:rPr>
            </w:pPr>
            <w:r>
              <w:rPr>
                <w:rFonts w:hint="eastAsia" w:ascii="宋体" w:hAnsi="宋体" w:cs="宋体"/>
                <w:b/>
                <w:bCs/>
                <w:color w:val="auto"/>
                <w:kern w:val="0"/>
              </w:rPr>
              <w:t>序号</w:t>
            </w:r>
          </w:p>
        </w:tc>
        <w:tc>
          <w:tcPr>
            <w:tcW w:w="2289" w:type="dxa"/>
            <w:noWrap w:val="0"/>
            <w:vAlign w:val="center"/>
          </w:tcPr>
          <w:p>
            <w:pPr>
              <w:widowControl/>
              <w:jc w:val="center"/>
              <w:rPr>
                <w:rFonts w:hint="eastAsia" w:ascii="宋体" w:hAnsi="宋体" w:cs="宋体"/>
                <w:b/>
                <w:bCs/>
                <w:color w:val="auto"/>
                <w:kern w:val="0"/>
              </w:rPr>
            </w:pPr>
            <w:r>
              <w:rPr>
                <w:rFonts w:hint="eastAsia" w:ascii="宋体" w:hAnsi="宋体" w:cs="宋体"/>
                <w:b/>
                <w:bCs/>
                <w:color w:val="auto"/>
                <w:kern w:val="0"/>
                <w:lang w:val="en-US" w:eastAsia="zh-CN"/>
              </w:rPr>
              <w:t>服务</w:t>
            </w:r>
            <w:r>
              <w:rPr>
                <w:rFonts w:hint="eastAsia" w:ascii="宋体" w:hAnsi="宋体" w:cs="宋体"/>
                <w:b/>
                <w:bCs/>
                <w:color w:val="auto"/>
                <w:kern w:val="0"/>
              </w:rPr>
              <w:t>名称</w:t>
            </w:r>
          </w:p>
        </w:tc>
        <w:tc>
          <w:tcPr>
            <w:tcW w:w="2492" w:type="dxa"/>
            <w:noWrap w:val="0"/>
            <w:vAlign w:val="center"/>
          </w:tcPr>
          <w:p>
            <w:pPr>
              <w:widowControl/>
              <w:jc w:val="center"/>
              <w:rPr>
                <w:rFonts w:hint="eastAsia" w:ascii="宋体" w:hAnsi="宋体" w:cs="宋体"/>
                <w:b/>
                <w:bCs/>
                <w:color w:val="auto"/>
                <w:kern w:val="0"/>
              </w:rPr>
            </w:pPr>
            <w:r>
              <w:rPr>
                <w:rFonts w:hint="eastAsia" w:ascii="宋体" w:hAnsi="宋体" w:cs="宋体"/>
                <w:b/>
                <w:bCs/>
                <w:color w:val="auto"/>
                <w:kern w:val="0"/>
              </w:rPr>
              <w:t>计算依据、过程和公式</w:t>
            </w:r>
          </w:p>
        </w:tc>
        <w:tc>
          <w:tcPr>
            <w:tcW w:w="1350" w:type="dxa"/>
            <w:noWrap w:val="0"/>
            <w:vAlign w:val="center"/>
          </w:tcPr>
          <w:p>
            <w:pPr>
              <w:widowControl/>
              <w:jc w:val="center"/>
              <w:rPr>
                <w:rFonts w:hint="eastAsia" w:ascii="宋体" w:hAnsi="宋体" w:cs="宋体"/>
                <w:b/>
                <w:bCs/>
                <w:color w:val="auto"/>
                <w:kern w:val="0"/>
              </w:rPr>
            </w:pPr>
            <w:r>
              <w:rPr>
                <w:rFonts w:hint="eastAsia" w:ascii="宋体" w:hAnsi="宋体" w:cs="宋体"/>
                <w:b/>
                <w:bCs/>
                <w:color w:val="auto"/>
                <w:kern w:val="0"/>
              </w:rPr>
              <w:t>金额（元）</w:t>
            </w:r>
          </w:p>
        </w:tc>
        <w:tc>
          <w:tcPr>
            <w:tcW w:w="1981" w:type="dxa"/>
            <w:noWrap w:val="0"/>
            <w:vAlign w:val="center"/>
          </w:tcPr>
          <w:p>
            <w:pPr>
              <w:widowControl/>
              <w:jc w:val="center"/>
              <w:rPr>
                <w:rFonts w:hint="eastAsia" w:ascii="宋体" w:hAnsi="宋体" w:cs="宋体"/>
                <w:b/>
                <w:bCs/>
                <w:color w:val="auto"/>
                <w:kern w:val="0"/>
              </w:rPr>
            </w:pPr>
            <w:r>
              <w:rPr>
                <w:rFonts w:hint="eastAsia" w:ascii="宋体" w:hAnsi="宋体" w:cs="宋体"/>
                <w:b/>
                <w:bCs/>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noWrap w:val="0"/>
            <w:vAlign w:val="center"/>
          </w:tcPr>
          <w:p>
            <w:pPr>
              <w:spacing w:line="360" w:lineRule="auto"/>
              <w:jc w:val="center"/>
              <w:rPr>
                <w:rFonts w:hint="eastAsia" w:ascii="宋体" w:hAnsi="宋体" w:cs="宋体"/>
                <w:color w:val="auto"/>
              </w:rPr>
            </w:pPr>
            <w:r>
              <w:rPr>
                <w:rFonts w:hint="eastAsia" w:ascii="宋体" w:hAnsi="宋体" w:cs="宋体"/>
                <w:color w:val="auto"/>
              </w:rPr>
              <w:t>1</w:t>
            </w:r>
          </w:p>
        </w:tc>
        <w:tc>
          <w:tcPr>
            <w:tcW w:w="2289" w:type="dxa"/>
            <w:noWrap w:val="0"/>
            <w:vAlign w:val="center"/>
          </w:tcPr>
          <w:p>
            <w:pPr>
              <w:spacing w:line="360" w:lineRule="auto"/>
              <w:jc w:val="center"/>
              <w:rPr>
                <w:rFonts w:hint="default" w:ascii="宋体" w:hAnsi="宋体" w:cs="宋体" w:eastAsiaTheme="minorEastAsia"/>
                <w:color w:val="auto"/>
                <w:lang w:val="en-US" w:eastAsia="zh-CN"/>
              </w:rPr>
            </w:pPr>
            <w:r>
              <w:rPr>
                <w:rFonts w:hint="eastAsia" w:ascii="宋体" w:hAnsi="宋体" w:cs="宋体"/>
                <w:color w:val="auto"/>
                <w:lang w:val="en-US" w:eastAsia="zh-CN"/>
              </w:rPr>
              <w:t>机械车库日常维护保养服务</w:t>
            </w:r>
          </w:p>
        </w:tc>
        <w:tc>
          <w:tcPr>
            <w:tcW w:w="2492" w:type="dxa"/>
            <w:noWrap w:val="0"/>
            <w:vAlign w:val="center"/>
          </w:tcPr>
          <w:p>
            <w:pPr>
              <w:spacing w:line="360" w:lineRule="auto"/>
              <w:jc w:val="center"/>
              <w:rPr>
                <w:rFonts w:hint="eastAsia" w:ascii="宋体" w:hAnsi="宋体" w:cs="宋体"/>
                <w:color w:val="auto"/>
              </w:rPr>
            </w:pPr>
          </w:p>
        </w:tc>
        <w:tc>
          <w:tcPr>
            <w:tcW w:w="1350" w:type="dxa"/>
            <w:noWrap w:val="0"/>
            <w:vAlign w:val="center"/>
          </w:tcPr>
          <w:p>
            <w:pPr>
              <w:spacing w:line="360" w:lineRule="auto"/>
              <w:jc w:val="center"/>
              <w:rPr>
                <w:rFonts w:hint="eastAsia" w:ascii="宋体" w:hAnsi="宋体" w:cs="宋体"/>
                <w:color w:val="auto"/>
              </w:rPr>
            </w:pPr>
          </w:p>
        </w:tc>
        <w:tc>
          <w:tcPr>
            <w:tcW w:w="1981" w:type="dxa"/>
            <w:noWrap w:val="0"/>
            <w:vAlign w:val="center"/>
          </w:tcPr>
          <w:p>
            <w:pPr>
              <w:spacing w:line="360" w:lineRule="auto"/>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noWrap w:val="0"/>
            <w:vAlign w:val="center"/>
          </w:tcPr>
          <w:p>
            <w:pPr>
              <w:spacing w:before="100" w:beforeAutospacing="1" w:after="100" w:afterAutospacing="1" w:line="360" w:lineRule="auto"/>
              <w:jc w:val="center"/>
              <w:rPr>
                <w:rFonts w:hint="eastAsia" w:ascii="宋体" w:hAnsi="宋体" w:cs="宋体"/>
                <w:color w:val="auto"/>
              </w:rPr>
            </w:pPr>
            <w:r>
              <w:rPr>
                <w:rFonts w:hint="eastAsia" w:ascii="宋体" w:hAnsi="宋体" w:cs="宋体"/>
                <w:color w:val="auto"/>
              </w:rPr>
              <w:t>2</w:t>
            </w:r>
          </w:p>
        </w:tc>
        <w:tc>
          <w:tcPr>
            <w:tcW w:w="2289" w:type="dxa"/>
            <w:noWrap w:val="0"/>
            <w:vAlign w:val="center"/>
          </w:tcPr>
          <w:p>
            <w:pPr>
              <w:spacing w:line="360" w:lineRule="auto"/>
              <w:jc w:val="center"/>
              <w:rPr>
                <w:rFonts w:hint="default" w:ascii="宋体" w:hAnsi="宋体" w:cs="宋体" w:eastAsiaTheme="minorEastAsia"/>
                <w:color w:val="auto"/>
                <w:lang w:val="en-US" w:eastAsia="zh-CN"/>
              </w:rPr>
            </w:pPr>
            <w:r>
              <w:rPr>
                <w:rFonts w:hint="eastAsia" w:ascii="宋体" w:hAnsi="宋体" w:cs="宋体"/>
                <w:color w:val="auto"/>
                <w:lang w:val="en-US" w:eastAsia="zh-CN"/>
              </w:rPr>
              <w:t>特种设备定期检测</w:t>
            </w:r>
          </w:p>
        </w:tc>
        <w:tc>
          <w:tcPr>
            <w:tcW w:w="2492" w:type="dxa"/>
            <w:noWrap w:val="0"/>
            <w:vAlign w:val="center"/>
          </w:tcPr>
          <w:p>
            <w:pPr>
              <w:spacing w:line="360" w:lineRule="auto"/>
              <w:jc w:val="center"/>
              <w:rPr>
                <w:rFonts w:hint="eastAsia" w:ascii="宋体" w:hAnsi="宋体" w:cs="宋体"/>
                <w:color w:val="auto"/>
                <w:lang w:val="en-US" w:eastAsia="zh-CN"/>
              </w:rPr>
            </w:pPr>
            <w:r>
              <w:rPr>
                <w:rFonts w:hint="eastAsia" w:ascii="宋体" w:hAnsi="宋体" w:cs="宋体"/>
                <w:color w:val="auto"/>
                <w:lang w:val="en-US" w:eastAsia="zh-CN"/>
              </w:rPr>
              <w:t>浙价费【2004】165号、浙政发【2008】66号、</w:t>
            </w:r>
          </w:p>
          <w:p>
            <w:pPr>
              <w:spacing w:line="360" w:lineRule="auto"/>
              <w:jc w:val="center"/>
              <w:rPr>
                <w:rFonts w:hint="default" w:ascii="宋体" w:hAnsi="宋体" w:cs="宋体" w:eastAsiaTheme="minorEastAsia"/>
                <w:color w:val="auto"/>
                <w:lang w:val="en-US" w:eastAsia="zh-CN"/>
              </w:rPr>
            </w:pPr>
            <w:r>
              <w:rPr>
                <w:rFonts w:hint="eastAsia" w:ascii="宋体" w:hAnsi="宋体" w:cs="宋体"/>
                <w:color w:val="auto"/>
                <w:lang w:val="en-US" w:eastAsia="zh-CN"/>
              </w:rPr>
              <w:t>浙价费【2011】249号文件</w:t>
            </w:r>
          </w:p>
        </w:tc>
        <w:tc>
          <w:tcPr>
            <w:tcW w:w="1350" w:type="dxa"/>
            <w:noWrap w:val="0"/>
            <w:vAlign w:val="center"/>
          </w:tcPr>
          <w:p>
            <w:pPr>
              <w:spacing w:line="360" w:lineRule="auto"/>
              <w:jc w:val="center"/>
              <w:rPr>
                <w:rFonts w:hint="eastAsia" w:ascii="宋体" w:hAnsi="宋体" w:cs="宋体"/>
                <w:color w:val="auto"/>
              </w:rPr>
            </w:pPr>
          </w:p>
        </w:tc>
        <w:tc>
          <w:tcPr>
            <w:tcW w:w="1981" w:type="dxa"/>
            <w:noWrap w:val="0"/>
            <w:vAlign w:val="center"/>
          </w:tcPr>
          <w:p>
            <w:pPr>
              <w:spacing w:line="360" w:lineRule="auto"/>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noWrap w:val="0"/>
            <w:vAlign w:val="center"/>
          </w:tcPr>
          <w:p>
            <w:pPr>
              <w:spacing w:before="100" w:beforeAutospacing="1" w:after="100" w:afterAutospacing="1" w:line="360" w:lineRule="auto"/>
              <w:jc w:val="center"/>
              <w:rPr>
                <w:rFonts w:hint="eastAsia" w:ascii="宋体" w:hAnsi="宋体" w:cs="宋体"/>
                <w:color w:val="auto"/>
              </w:rPr>
            </w:pPr>
            <w:r>
              <w:rPr>
                <w:rFonts w:hint="eastAsia" w:ascii="宋体" w:hAnsi="宋体" w:cs="宋体"/>
                <w:color w:val="auto"/>
              </w:rPr>
              <w:t>3</w:t>
            </w:r>
          </w:p>
        </w:tc>
        <w:tc>
          <w:tcPr>
            <w:tcW w:w="2289" w:type="dxa"/>
            <w:noWrap w:val="0"/>
            <w:vAlign w:val="center"/>
          </w:tcPr>
          <w:p>
            <w:pPr>
              <w:spacing w:line="360" w:lineRule="auto"/>
              <w:jc w:val="center"/>
              <w:rPr>
                <w:rFonts w:hint="eastAsia" w:ascii="宋体" w:hAnsi="宋体" w:cs="宋体"/>
                <w:color w:val="auto"/>
              </w:rPr>
            </w:pPr>
          </w:p>
        </w:tc>
        <w:tc>
          <w:tcPr>
            <w:tcW w:w="2492" w:type="dxa"/>
            <w:noWrap w:val="0"/>
            <w:vAlign w:val="center"/>
          </w:tcPr>
          <w:p>
            <w:pPr>
              <w:spacing w:line="360" w:lineRule="auto"/>
              <w:jc w:val="center"/>
              <w:rPr>
                <w:rFonts w:hint="eastAsia" w:ascii="宋体" w:hAnsi="宋体" w:cs="宋体"/>
                <w:color w:val="auto"/>
              </w:rPr>
            </w:pPr>
          </w:p>
        </w:tc>
        <w:tc>
          <w:tcPr>
            <w:tcW w:w="1350" w:type="dxa"/>
            <w:noWrap w:val="0"/>
            <w:vAlign w:val="center"/>
          </w:tcPr>
          <w:p>
            <w:pPr>
              <w:spacing w:line="360" w:lineRule="auto"/>
              <w:jc w:val="center"/>
              <w:rPr>
                <w:rFonts w:hint="eastAsia" w:ascii="宋体" w:hAnsi="宋体" w:cs="宋体"/>
                <w:color w:val="auto"/>
              </w:rPr>
            </w:pPr>
          </w:p>
        </w:tc>
        <w:tc>
          <w:tcPr>
            <w:tcW w:w="1981" w:type="dxa"/>
            <w:noWrap w:val="0"/>
            <w:vAlign w:val="center"/>
          </w:tcPr>
          <w:p>
            <w:pPr>
              <w:spacing w:line="360" w:lineRule="auto"/>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noWrap w:val="0"/>
            <w:vAlign w:val="center"/>
          </w:tcPr>
          <w:p>
            <w:pPr>
              <w:spacing w:before="100" w:beforeAutospacing="1" w:after="100" w:afterAutospacing="1" w:line="360" w:lineRule="auto"/>
              <w:jc w:val="center"/>
              <w:rPr>
                <w:rFonts w:hint="eastAsia" w:ascii="宋体" w:hAnsi="宋体" w:cs="宋体"/>
                <w:color w:val="auto"/>
              </w:rPr>
            </w:pPr>
            <w:r>
              <w:rPr>
                <w:rFonts w:hint="eastAsia" w:ascii="宋体" w:hAnsi="宋体" w:cs="宋体"/>
                <w:color w:val="auto"/>
              </w:rPr>
              <w:t>4</w:t>
            </w:r>
          </w:p>
        </w:tc>
        <w:tc>
          <w:tcPr>
            <w:tcW w:w="2289" w:type="dxa"/>
            <w:noWrap w:val="0"/>
            <w:vAlign w:val="center"/>
          </w:tcPr>
          <w:p>
            <w:pPr>
              <w:spacing w:line="360" w:lineRule="auto"/>
              <w:jc w:val="center"/>
              <w:rPr>
                <w:rFonts w:hint="eastAsia" w:ascii="宋体" w:hAnsi="宋体" w:cs="宋体"/>
                <w:color w:val="auto"/>
              </w:rPr>
            </w:pPr>
          </w:p>
        </w:tc>
        <w:tc>
          <w:tcPr>
            <w:tcW w:w="2492" w:type="dxa"/>
            <w:noWrap w:val="0"/>
            <w:vAlign w:val="center"/>
          </w:tcPr>
          <w:p>
            <w:pPr>
              <w:spacing w:line="360" w:lineRule="auto"/>
              <w:jc w:val="center"/>
              <w:rPr>
                <w:rFonts w:hint="eastAsia" w:ascii="宋体" w:hAnsi="宋体" w:cs="宋体"/>
                <w:color w:val="auto"/>
              </w:rPr>
            </w:pPr>
          </w:p>
        </w:tc>
        <w:tc>
          <w:tcPr>
            <w:tcW w:w="1350" w:type="dxa"/>
            <w:noWrap w:val="0"/>
            <w:vAlign w:val="center"/>
          </w:tcPr>
          <w:p>
            <w:pPr>
              <w:spacing w:line="360" w:lineRule="auto"/>
              <w:jc w:val="center"/>
              <w:rPr>
                <w:rFonts w:hint="eastAsia" w:ascii="宋体" w:hAnsi="宋体" w:cs="宋体"/>
                <w:color w:val="auto"/>
              </w:rPr>
            </w:pPr>
          </w:p>
        </w:tc>
        <w:tc>
          <w:tcPr>
            <w:tcW w:w="1981" w:type="dxa"/>
            <w:noWrap w:val="0"/>
            <w:vAlign w:val="center"/>
          </w:tcPr>
          <w:p>
            <w:pPr>
              <w:spacing w:line="360" w:lineRule="auto"/>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noWrap w:val="0"/>
            <w:vAlign w:val="center"/>
          </w:tcPr>
          <w:p>
            <w:pPr>
              <w:spacing w:before="100" w:beforeAutospacing="1" w:after="100" w:afterAutospacing="1" w:line="360" w:lineRule="auto"/>
              <w:jc w:val="center"/>
              <w:rPr>
                <w:rFonts w:hint="eastAsia" w:ascii="宋体" w:hAnsi="宋体" w:cs="宋体"/>
                <w:color w:val="auto"/>
              </w:rPr>
            </w:pPr>
            <w:r>
              <w:rPr>
                <w:rFonts w:hint="eastAsia" w:ascii="宋体" w:hAnsi="宋体" w:cs="宋体"/>
                <w:color w:val="auto"/>
              </w:rPr>
              <w:t>5</w:t>
            </w:r>
          </w:p>
        </w:tc>
        <w:tc>
          <w:tcPr>
            <w:tcW w:w="2289" w:type="dxa"/>
            <w:noWrap w:val="0"/>
            <w:vAlign w:val="center"/>
          </w:tcPr>
          <w:p>
            <w:pPr>
              <w:spacing w:line="360" w:lineRule="auto"/>
              <w:jc w:val="center"/>
              <w:rPr>
                <w:rFonts w:hint="eastAsia" w:ascii="宋体" w:hAnsi="宋体" w:cs="宋体"/>
                <w:color w:val="auto"/>
              </w:rPr>
            </w:pPr>
          </w:p>
        </w:tc>
        <w:tc>
          <w:tcPr>
            <w:tcW w:w="2492" w:type="dxa"/>
            <w:noWrap w:val="0"/>
            <w:vAlign w:val="center"/>
          </w:tcPr>
          <w:p>
            <w:pPr>
              <w:spacing w:line="360" w:lineRule="auto"/>
              <w:jc w:val="center"/>
              <w:rPr>
                <w:rFonts w:hint="eastAsia" w:ascii="宋体" w:hAnsi="宋体" w:cs="宋体"/>
                <w:color w:val="auto"/>
              </w:rPr>
            </w:pPr>
          </w:p>
        </w:tc>
        <w:tc>
          <w:tcPr>
            <w:tcW w:w="1350" w:type="dxa"/>
            <w:noWrap w:val="0"/>
            <w:vAlign w:val="center"/>
          </w:tcPr>
          <w:p>
            <w:pPr>
              <w:spacing w:line="360" w:lineRule="auto"/>
              <w:jc w:val="center"/>
              <w:rPr>
                <w:rFonts w:hint="eastAsia" w:ascii="宋体" w:hAnsi="宋体" w:cs="宋体"/>
                <w:color w:val="auto"/>
              </w:rPr>
            </w:pPr>
          </w:p>
        </w:tc>
        <w:tc>
          <w:tcPr>
            <w:tcW w:w="1981" w:type="dxa"/>
            <w:noWrap w:val="0"/>
            <w:vAlign w:val="center"/>
          </w:tcPr>
          <w:p>
            <w:pPr>
              <w:spacing w:line="360" w:lineRule="auto"/>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noWrap w:val="0"/>
            <w:vAlign w:val="center"/>
          </w:tcPr>
          <w:p>
            <w:pPr>
              <w:widowControl/>
              <w:jc w:val="center"/>
              <w:rPr>
                <w:rFonts w:hint="eastAsia" w:ascii="宋体" w:hAnsi="宋体" w:cs="宋体"/>
                <w:color w:val="auto"/>
                <w:kern w:val="0"/>
              </w:rPr>
            </w:pPr>
            <w:r>
              <w:rPr>
                <w:rFonts w:hint="eastAsia" w:ascii="宋体" w:hAnsi="宋体" w:cs="宋体"/>
                <w:color w:val="auto"/>
                <w:kern w:val="0"/>
              </w:rPr>
              <w:t>……</w:t>
            </w:r>
          </w:p>
        </w:tc>
        <w:tc>
          <w:tcPr>
            <w:tcW w:w="2289" w:type="dxa"/>
            <w:noWrap w:val="0"/>
            <w:vAlign w:val="center"/>
          </w:tcPr>
          <w:p>
            <w:pPr>
              <w:widowControl/>
              <w:jc w:val="center"/>
              <w:rPr>
                <w:rFonts w:hint="eastAsia" w:ascii="宋体" w:hAnsi="宋体" w:cs="宋体"/>
                <w:color w:val="auto"/>
                <w:kern w:val="0"/>
              </w:rPr>
            </w:pPr>
            <w:r>
              <w:rPr>
                <w:rFonts w:hint="eastAsia" w:ascii="宋体" w:hAnsi="宋体" w:cs="宋体"/>
                <w:color w:val="auto"/>
                <w:kern w:val="0"/>
              </w:rPr>
              <w:t>……</w:t>
            </w:r>
          </w:p>
        </w:tc>
        <w:tc>
          <w:tcPr>
            <w:tcW w:w="2492" w:type="dxa"/>
            <w:noWrap w:val="0"/>
            <w:vAlign w:val="center"/>
          </w:tcPr>
          <w:p>
            <w:pPr>
              <w:spacing w:line="360" w:lineRule="auto"/>
              <w:jc w:val="center"/>
              <w:rPr>
                <w:rFonts w:hint="eastAsia" w:ascii="宋体" w:hAnsi="宋体" w:cs="宋体"/>
                <w:color w:val="auto"/>
              </w:rPr>
            </w:pPr>
          </w:p>
        </w:tc>
        <w:tc>
          <w:tcPr>
            <w:tcW w:w="1350" w:type="dxa"/>
            <w:noWrap w:val="0"/>
            <w:vAlign w:val="center"/>
          </w:tcPr>
          <w:p>
            <w:pPr>
              <w:spacing w:line="360" w:lineRule="auto"/>
              <w:jc w:val="center"/>
              <w:rPr>
                <w:rFonts w:hint="eastAsia" w:ascii="宋体" w:hAnsi="宋体" w:cs="宋体"/>
                <w:color w:val="auto"/>
              </w:rPr>
            </w:pPr>
          </w:p>
        </w:tc>
        <w:tc>
          <w:tcPr>
            <w:tcW w:w="1981" w:type="dxa"/>
            <w:noWrap w:val="0"/>
            <w:vAlign w:val="center"/>
          </w:tcPr>
          <w:p>
            <w:pPr>
              <w:spacing w:line="360" w:lineRule="auto"/>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6" w:type="dxa"/>
            <w:gridSpan w:val="3"/>
            <w:noWrap w:val="0"/>
            <w:vAlign w:val="center"/>
          </w:tcPr>
          <w:p>
            <w:pPr>
              <w:widowControl/>
              <w:jc w:val="center"/>
              <w:rPr>
                <w:rFonts w:hint="eastAsia" w:ascii="宋体" w:hAnsi="宋体" w:cs="宋体"/>
                <w:b/>
                <w:bCs/>
                <w:color w:val="auto"/>
                <w:kern w:val="0"/>
              </w:rPr>
            </w:pPr>
            <w:r>
              <w:rPr>
                <w:rFonts w:hint="eastAsia" w:ascii="宋体" w:hAnsi="宋体" w:cs="宋体"/>
                <w:b/>
                <w:bCs/>
                <w:color w:val="auto"/>
                <w:kern w:val="0"/>
              </w:rPr>
              <w:t>合计报价</w:t>
            </w:r>
          </w:p>
        </w:tc>
        <w:tc>
          <w:tcPr>
            <w:tcW w:w="1350" w:type="dxa"/>
            <w:noWrap w:val="0"/>
            <w:vAlign w:val="center"/>
          </w:tcPr>
          <w:p>
            <w:pPr>
              <w:spacing w:line="360" w:lineRule="auto"/>
              <w:jc w:val="center"/>
              <w:rPr>
                <w:rFonts w:hint="eastAsia" w:ascii="宋体" w:hAnsi="宋体" w:cs="宋体"/>
                <w:color w:val="auto"/>
              </w:rPr>
            </w:pPr>
          </w:p>
        </w:tc>
        <w:tc>
          <w:tcPr>
            <w:tcW w:w="1981" w:type="dxa"/>
            <w:noWrap w:val="0"/>
            <w:vAlign w:val="center"/>
          </w:tcPr>
          <w:p>
            <w:pPr>
              <w:spacing w:line="360" w:lineRule="auto"/>
              <w:jc w:val="center"/>
              <w:rPr>
                <w:rFonts w:hint="eastAsia" w:ascii="宋体" w:hAnsi="宋体" w:cs="宋体"/>
                <w:color w:val="auto"/>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4"/>
          <w:szCs w:val="24"/>
          <w:lang w:val="en-US" w:eastAsia="zh-CN" w:bidi="ar"/>
          <w14:textFill>
            <w14:solidFill>
              <w14:schemeClr w14:val="tx1"/>
            </w14:solidFill>
          </w14:textFill>
        </w:rPr>
        <w:t>注：(1) 本报价包括对温州海经区发展大厦机械车库日常维修保养服务和特种设备定期检测所发生的一切费用；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p>
    <w:p>
      <w:pPr>
        <w:spacing w:line="360" w:lineRule="auto"/>
        <w:rPr>
          <w:rFonts w:ascii="Helvetica" w:hAnsi="Helvetica" w:eastAsia="Helvetica" w:cs="Helvetica"/>
          <w:i w:val="0"/>
          <w:iCs w:val="0"/>
          <w:caps w:val="0"/>
          <w:color w:val="000000" w:themeColor="text1"/>
          <w:spacing w:val="0"/>
          <w:sz w:val="24"/>
          <w:szCs w:val="24"/>
          <w:shd w:val="clear" w:fill="FFFFFF"/>
          <w14:textFill>
            <w14:solidFill>
              <w14:schemeClr w14:val="tx1"/>
            </w14:solidFill>
          </w14:textFill>
        </w:rPr>
      </w:pPr>
    </w:p>
    <w:p>
      <w:pPr>
        <w:pStyle w:val="2"/>
        <w:rPr>
          <w:rFonts w:ascii="Helvetica" w:hAnsi="Helvetica" w:eastAsia="Helvetica" w:cs="Helvetica"/>
          <w:i w:val="0"/>
          <w:iCs w:val="0"/>
          <w:caps w:val="0"/>
          <w:color w:val="000000" w:themeColor="text1"/>
          <w:spacing w:val="0"/>
          <w:sz w:val="24"/>
          <w:szCs w:val="24"/>
          <w:shd w:val="clear" w:fill="FFFFFF"/>
          <w14:textFill>
            <w14:solidFill>
              <w14:schemeClr w14:val="tx1"/>
            </w14:solidFill>
          </w14:textFill>
        </w:rPr>
      </w:pPr>
    </w:p>
    <w:p>
      <w:pPr>
        <w:pStyle w:val="4"/>
        <w:rPr>
          <w:rFonts w:ascii="Helvetica" w:hAnsi="Helvetica" w:eastAsia="Helvetica" w:cs="Helvetica"/>
          <w:i w:val="0"/>
          <w:iCs w:val="0"/>
          <w:caps w:val="0"/>
          <w:color w:val="000000" w:themeColor="text1"/>
          <w:spacing w:val="0"/>
          <w:sz w:val="24"/>
          <w:szCs w:val="24"/>
          <w:shd w:val="clear" w:fill="FFFFFF"/>
          <w14:textFill>
            <w14:solidFill>
              <w14:schemeClr w14:val="tx1"/>
            </w14:solidFill>
          </w14:textFill>
        </w:rPr>
      </w:pPr>
    </w:p>
    <w:p>
      <w:pPr>
        <w:rPr>
          <w:rFonts w:ascii="Helvetica" w:hAnsi="Helvetica" w:eastAsia="Helvetica" w:cs="Helvetica"/>
          <w:i w:val="0"/>
          <w:iCs w:val="0"/>
          <w:caps w:val="0"/>
          <w:color w:val="000000" w:themeColor="text1"/>
          <w:spacing w:val="0"/>
          <w:sz w:val="24"/>
          <w:szCs w:val="24"/>
          <w:shd w:val="clear" w:fill="FFFFFF"/>
          <w14:textFill>
            <w14:solidFill>
              <w14:schemeClr w14:val="tx1"/>
            </w14:solidFill>
          </w14:textFill>
        </w:rPr>
      </w:pPr>
    </w:p>
    <w:p>
      <w:pPr>
        <w:pStyle w:val="2"/>
        <w:rPr>
          <w:rFonts w:ascii="Helvetica" w:hAnsi="Helvetica" w:eastAsia="Helvetica" w:cs="Helvetica"/>
          <w:i w:val="0"/>
          <w:iCs w:val="0"/>
          <w:caps w:val="0"/>
          <w:color w:val="000000" w:themeColor="text1"/>
          <w:spacing w:val="0"/>
          <w:sz w:val="24"/>
          <w:szCs w:val="24"/>
          <w:shd w:val="clear" w:fill="FFFFFF"/>
          <w14:textFill>
            <w14:solidFill>
              <w14:schemeClr w14:val="tx1"/>
            </w14:solidFill>
          </w14:textFill>
        </w:rPr>
      </w:pPr>
    </w:p>
    <w:p>
      <w:pPr>
        <w:pStyle w:val="4"/>
        <w:rPr>
          <w:rFonts w:ascii="Helvetica" w:hAnsi="Helvetica" w:eastAsia="Helvetica" w:cs="Helvetica"/>
          <w:i w:val="0"/>
          <w:iCs w:val="0"/>
          <w:caps w:val="0"/>
          <w:color w:val="000000" w:themeColor="text1"/>
          <w:spacing w:val="0"/>
          <w:sz w:val="24"/>
          <w:szCs w:val="24"/>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720"/>
        <w:jc w:val="left"/>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4"/>
          <w:szCs w:val="24"/>
          <w:lang w:val="en-US" w:eastAsia="zh-CN" w:bidi="ar"/>
          <w14:textFill>
            <w14:solidFill>
              <w14:schemeClr w14:val="tx1"/>
            </w14:solidFill>
          </w14:textFill>
        </w:rPr>
        <w:t>报价单位（盖章）                              法人代表（签字）：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firstLine="360"/>
        <w:jc w:val="right"/>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8"/>
          <w:szCs w:val="28"/>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360"/>
        <w:jc w:val="right"/>
      </w:pPr>
      <w:r>
        <w:rPr>
          <w:rFonts w:hint="eastAsia" w:ascii="微软雅黑" w:hAnsi="微软雅黑" w:eastAsia="微软雅黑" w:cs="微软雅黑"/>
          <w:i w:val="0"/>
          <w:iCs w:val="0"/>
          <w:caps w:val="0"/>
          <w:color w:val="000000" w:themeColor="text1"/>
          <w:spacing w:val="0"/>
          <w:kern w:val="0"/>
          <w:sz w:val="24"/>
          <w:szCs w:val="24"/>
          <w:lang w:val="en-US" w:eastAsia="zh-CN" w:bidi="ar"/>
          <w14:textFill>
            <w14:solidFill>
              <w14:schemeClr w14:val="tx1"/>
            </w14:solidFill>
          </w14:textFill>
        </w:rPr>
        <w:t>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OTJjZDg4YzEwMmFhNjU1ZTAyNTkzODAxMWU1YzgifQ=="/>
  </w:docVars>
  <w:rsids>
    <w:rsidRoot w:val="00000000"/>
    <w:rsid w:val="007648F6"/>
    <w:rsid w:val="06CB2CCA"/>
    <w:rsid w:val="07622CDB"/>
    <w:rsid w:val="087F14B6"/>
    <w:rsid w:val="0DD77E52"/>
    <w:rsid w:val="0EA825AB"/>
    <w:rsid w:val="163C6D3C"/>
    <w:rsid w:val="17905F04"/>
    <w:rsid w:val="1AF225C5"/>
    <w:rsid w:val="1FD17D5D"/>
    <w:rsid w:val="24CC5404"/>
    <w:rsid w:val="29291A8F"/>
    <w:rsid w:val="2C4D07E8"/>
    <w:rsid w:val="2D256EAF"/>
    <w:rsid w:val="3715740A"/>
    <w:rsid w:val="39783D7D"/>
    <w:rsid w:val="3AFC07A2"/>
    <w:rsid w:val="428C7346"/>
    <w:rsid w:val="434E0C76"/>
    <w:rsid w:val="43945B72"/>
    <w:rsid w:val="46F24BE2"/>
    <w:rsid w:val="4DBF46F7"/>
    <w:rsid w:val="509A4673"/>
    <w:rsid w:val="50B54FF1"/>
    <w:rsid w:val="52BE6CA2"/>
    <w:rsid w:val="5ACC6432"/>
    <w:rsid w:val="5BCF00A9"/>
    <w:rsid w:val="5DE30F6E"/>
    <w:rsid w:val="5EE356F6"/>
    <w:rsid w:val="5F7A1C50"/>
    <w:rsid w:val="62CF181C"/>
    <w:rsid w:val="64AE5827"/>
    <w:rsid w:val="6ECC6731"/>
    <w:rsid w:val="6F494620"/>
    <w:rsid w:val="71BA253A"/>
    <w:rsid w:val="73294024"/>
    <w:rsid w:val="74A94B9F"/>
    <w:rsid w:val="754D4EDE"/>
    <w:rsid w:val="756764C8"/>
    <w:rsid w:val="7745222C"/>
    <w:rsid w:val="797B242D"/>
    <w:rsid w:val="7B7D015F"/>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9"/>
    <w:pPr>
      <w:keepNext/>
      <w:keepLines/>
      <w:spacing w:before="260" w:after="260" w:line="412" w:lineRule="auto"/>
      <w:outlineLvl w:val="1"/>
    </w:pPr>
    <w:rPr>
      <w:rFonts w:ascii="Arial" w:hAnsi="Arial" w:eastAsia="黑体" w:cs="Times New Roman"/>
      <w:b/>
      <w:bCs/>
      <w:sz w:val="32"/>
      <w:szCs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99"/>
    <w:pPr>
      <w:spacing w:line="312" w:lineRule="auto"/>
      <w:ind w:firstLine="420"/>
    </w:pPr>
    <w:rPr>
      <w:sz w:val="24"/>
      <w:szCs w:val="24"/>
      <w:lang w:val="en-US" w:eastAsia="zh-CN"/>
    </w:rPr>
  </w:style>
  <w:style w:type="paragraph" w:styleId="3">
    <w:name w:val="Body Text"/>
    <w:basedOn w:val="1"/>
    <w:next w:val="2"/>
    <w:semiHidden/>
    <w:qFormat/>
    <w:uiPriority w:val="0"/>
    <w:rPr>
      <w:rFonts w:ascii="宋体" w:hAnsi="宋体" w:eastAsia="宋体" w:cs="宋体"/>
      <w:sz w:val="25"/>
      <w:szCs w:val="25"/>
      <w:lang w:val="en-US" w:eastAsia="en-US" w:bidi="ar-SA"/>
    </w:rPr>
  </w:style>
  <w:style w:type="paragraph" w:styleId="4">
    <w:name w:val="toc 6"/>
    <w:basedOn w:val="1"/>
    <w:next w:val="1"/>
    <w:qFormat/>
    <w:uiPriority w:val="99"/>
    <w:pPr>
      <w:ind w:left="1000" w:leftChars="1000"/>
    </w:pPr>
  </w:style>
  <w:style w:type="paragraph" w:styleId="6">
    <w:name w:val="Body Text Indent"/>
    <w:basedOn w:val="1"/>
    <w:next w:val="7"/>
    <w:qFormat/>
    <w:uiPriority w:val="0"/>
    <w:pPr>
      <w:spacing w:line="500" w:lineRule="exact"/>
      <w:ind w:firstLine="480" w:firstLineChars="200"/>
    </w:pPr>
    <w:rPr>
      <w:sz w:val="24"/>
    </w:rPr>
  </w:style>
  <w:style w:type="paragraph" w:styleId="7">
    <w:name w:val="Body Text First Indent 2"/>
    <w:basedOn w:val="6"/>
    <w:next w:val="1"/>
    <w:qFormat/>
    <w:uiPriority w:val="0"/>
    <w:pPr>
      <w:ind w:firstLine="420"/>
    </w:pPr>
    <w:rPr>
      <w:rFonts w:ascii="等线" w:hAnsi="等线" w:eastAsia="等线" w:cs="Times New Roman"/>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2023-11-15T08:11:00Z</dcterms:created>
  <dc:creator>13</dc:creator>
  <cp:lastModifiedBy>admin</cp:lastModifiedBy>
  <dcterms:modified xsi:type="dcterms:W3CDTF">2024-03-28T00:42:21Z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7A7FF54AC64E4244ACF8BC65505F3EFF_13</vt:lpwstr>
  </property>
</Properties>
</file>